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3</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ind w:left="3700"/>
        <w:spacing w:after="0"/>
        <w:rPr>
          <w:sz w:val="20"/>
          <w:szCs w:val="20"/>
          <w:color w:val="auto"/>
        </w:rPr>
      </w:pPr>
      <w:r>
        <w:rPr>
          <w:rFonts w:ascii="Times New Roman" w:cs="Times New Roman" w:eastAsia="Times New Roman" w:hAnsi="Times New Roman"/>
          <w:sz w:val="22"/>
          <w:szCs w:val="22"/>
          <w:b w:val="1"/>
          <w:bCs w:val="1"/>
          <w:color w:val="0000FF"/>
        </w:rPr>
        <w:t>CERIBELL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FMR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7079" w:hanging="231"/>
        <w:spacing w:after="0" w:line="389" w:lineRule="auto"/>
        <w:tabs>
          <w:tab w:leader="none" w:pos="28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 Voting Power 4,845,632.00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4,850,430.52</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4,850,430.52</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Abigail P. Johnson</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4,850,430.52</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4,850,430.52</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11" w:right="1440" w:bottom="0" w:gutter="0" w:footer="0" w:header="0"/>
          <w:type w:val="continuous"/>
        </w:sectPr>
      </w:pPr>
    </w:p>
    <w:bookmarkStart w:id="2" w:name="page3"/>
    <w:bookmarkEnd w:id="2"/>
    <w:p>
      <w:pPr>
        <w:ind w:left="1120" w:right="5220" w:hanging="1112"/>
        <w:spacing w:after="0" w:line="371" w:lineRule="auto"/>
        <w:tabs>
          <w:tab w:leader="none" w:pos="11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 represented by amount in row (9) 12.9 %</w:t>
      </w:r>
    </w:p>
    <w:p>
      <w:pPr>
        <w:spacing w:after="0" w:line="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0640"/>
          </w:cols>
          <w:pgMar w:left="360" w:top="111" w:right="899" w:bottom="0" w:gutter="0" w:footer="0" w:header="0"/>
        </w:sect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CERIBELL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360 N. PASTORIA AVENUE,SUNNYVALE,CA,USA,94085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FMR LLC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245 Summer Street, Boston, Massachusetts 02210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1"/>
          <w:szCs w:val="21"/>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4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180"/>
        <w:spacing w:after="0" w:line="258" w:lineRule="auto"/>
        <w:rPr>
          <w:sz w:val="20"/>
          <w:szCs w:val="20"/>
          <w:color w:val="auto"/>
        </w:rPr>
      </w:pPr>
      <w:r>
        <w:rPr>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520"/>
        <w:spacing w:after="0" w:line="241" w:lineRule="auto"/>
        <w:rPr>
          <w:sz w:val="20"/>
          <w:szCs w:val="20"/>
          <w:color w:val="auto"/>
        </w:rPr>
      </w:pPr>
      <w:r>
        <w:rPr>
          <w:sz w:val="1"/>
          <w:szCs w:val="1"/>
          <w:color w:val="auto"/>
        </w:rPr>
        <w:drawing>
          <wp:inline distT="0" distB="0" distL="0" distR="0">
            <wp:extent cx="128905" cy="128270"/>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4850430.52</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w:t>
      </w:r>
    </w:p>
    <w:p>
      <w:pPr>
        <w:spacing w:after="0" w:line="256" w:lineRule="exact"/>
        <w:rPr>
          <w:sz w:val="20"/>
          <w:szCs w:val="20"/>
          <w:color w:val="auto"/>
        </w:rPr>
      </w:pPr>
    </w:p>
    <w:p>
      <w:pPr>
        <w:sectPr>
          <w:pgSz w:w="11900" w:h="16838" w:orient="portrait"/>
          <w:cols w:equalWidth="0" w:num="2">
            <w:col w:w="620" w:space="300"/>
            <w:col w:w="9720"/>
          </w:cols>
          <w:pgMar w:left="360" w:top="111" w:right="899" w:bottom="0" w:gutter="0" w:footer="0" w:header="0"/>
          <w:type w:val="continuous"/>
        </w:sectPr>
      </w:pPr>
    </w:p>
    <w:p>
      <w:pPr>
        <w:ind w:left="920"/>
        <w:spacing w:after="0"/>
        <w:rPr>
          <w:sz w:val="20"/>
          <w:szCs w:val="20"/>
          <w:color w:val="auto"/>
        </w:rPr>
      </w:pPr>
      <w:r>
        <w:rPr>
          <w:rFonts w:ascii="Times New Roman" w:cs="Times New Roman" w:eastAsia="Times New Roman" w:hAnsi="Times New Roman"/>
          <w:sz w:val="22"/>
          <w:szCs w:val="22"/>
          <w:color w:val="auto"/>
        </w:rPr>
        <w:t>12.9 %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jc w:val="right"/>
        <w:ind w:right="4540"/>
        <w:spacing w:after="0"/>
        <w:rPr>
          <w:sz w:val="20"/>
          <w:szCs w:val="20"/>
          <w:color w:val="auto"/>
        </w:rPr>
      </w:pPr>
      <w:r>
        <w:rPr>
          <w:rFonts w:ascii="Times New Roman" w:cs="Times New Roman" w:eastAsia="Times New Roman" w:hAnsi="Times New Roman"/>
          <w:sz w:val="22"/>
          <w:szCs w:val="22"/>
          <w:color w:val="auto"/>
        </w:rPr>
        <w:t>Please see the responses to Items 5 and 6 on the cover page.</w:t>
      </w:r>
    </w:p>
    <w:p>
      <w:pPr>
        <w:sectPr>
          <w:pgSz w:w="11900" w:h="16838" w:orient="portrait"/>
          <w:cols w:equalWidth="0" w:num="1">
            <w:col w:w="10640"/>
          </w:cols>
          <w:pgMar w:left="360" w:top="111" w:right="899" w:bottom="0" w:gutter="0" w:footer="0" w:header="0"/>
          <w:type w:val="continuous"/>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line="41" w:lineRule="exact"/>
        <w:rPr>
          <w:sz w:val="20"/>
          <w:szCs w:val="20"/>
          <w:color w:val="auto"/>
        </w:rPr>
      </w:pPr>
    </w:p>
    <w:p>
      <w:pPr>
        <w:ind w:right="6240" w:firstLine="6"/>
        <w:spacing w:after="0" w:line="486" w:lineRule="auto"/>
        <w:tabs>
          <w:tab w:leader="none" w:pos="31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0.00</w:t>
      </w:r>
    </w:p>
    <w:p>
      <w:pPr>
        <w:spacing w:after="0" w:line="1"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4850430.52</w:t>
      </w:r>
    </w:p>
    <w:p>
      <w:pPr>
        <w:spacing w:after="0" w:line="1" w:lineRule="exact"/>
        <w:rPr>
          <w:rFonts w:ascii="Times New Roman" w:cs="Times New Roman" w:eastAsia="Times New Roman" w:hAnsi="Times New Roman"/>
          <w:sz w:val="22"/>
          <w:szCs w:val="22"/>
          <w:color w:val="auto"/>
        </w:rPr>
      </w:pPr>
    </w:p>
    <w:p>
      <w:pPr>
        <w:ind w:right="5120" w:firstLine="6"/>
        <w:spacing w:after="0" w:line="486" w:lineRule="auto"/>
        <w:tabs>
          <w:tab w:leader="none" w:pos="366"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0.00</w:t>
      </w:r>
    </w:p>
    <w:p>
      <w:pPr>
        <w:spacing w:after="0" w:line="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21"/>
          <w:szCs w:val="21"/>
          <w:color w:val="auto"/>
        </w:rPr>
        <w:t>One or more other persons are known to have the right to receive or the power to direct the receipt of dividends from, or the proceeds from the sale of, the COMMON STOCK of CERIBELL INC. No one other person's interest in the COMMON STOCK of CERIBELL INC is more than five percent of the total outstanding COMMON STOCK.</w:t>
      </w:r>
    </w:p>
    <w:p>
      <w:pPr>
        <w:spacing w:after="0" w:line="1"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900" w:orient="portrait"/>
          <w:cols w:equalWidth="0" w:num="2">
            <w:col w:w="620" w:space="300"/>
            <w:col w:w="10220"/>
          </w:cols>
          <w:pgMar w:left="360" w:top="409" w:right="399" w:bottom="0" w:gutter="0" w:footer="0" w:header="0"/>
        </w:sectPr>
      </w:pPr>
    </w:p>
    <w:p>
      <w:pPr>
        <w:spacing w:after="0" w:line="25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attached Exhibit 99.</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FMR LLC</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Richard Bourgelas</w:t>
      </w:r>
    </w:p>
    <w:p>
      <w:pPr>
        <w:spacing w:after="0" w:line="4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Duly authorized under Power of Attorney</w:t>
      </w:r>
    </w:p>
    <w:p>
      <w:pPr>
        <w:spacing w:after="0" w:line="4"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22"/>
          <w:szCs w:val="22"/>
          <w:color w:val="auto"/>
        </w:rPr>
        <w:t>Name/Title: effective as of April 13, 2026, by and on behalf of</w:t>
      </w:r>
    </w:p>
    <w:p>
      <w:pPr>
        <w:jc w:val="right"/>
        <w:ind w:right="40"/>
        <w:spacing w:after="0"/>
        <w:rPr>
          <w:sz w:val="20"/>
          <w:szCs w:val="20"/>
          <w:color w:val="auto"/>
        </w:rPr>
      </w:pPr>
      <w:r>
        <w:rPr>
          <w:rFonts w:ascii="Times New Roman" w:cs="Times New Roman" w:eastAsia="Times New Roman" w:hAnsi="Times New Roman"/>
          <w:sz w:val="22"/>
          <w:szCs w:val="22"/>
          <w:color w:val="auto"/>
        </w:rPr>
        <w:t>FMR LLC and its direct and indirect subsidiaries*</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05/05/2026</w:t>
      </w:r>
    </w:p>
    <w:p>
      <w:pPr>
        <w:spacing w:after="0" w:line="152"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color w:val="auto"/>
        </w:rPr>
        <w:t>Abigail P. Johnson</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Richard Bourgelas</w:t>
      </w:r>
    </w:p>
    <w:p>
      <w:pPr>
        <w:spacing w:after="0" w:line="4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Name/Title: Duly authorized under Power of Attorney</w:t>
      </w:r>
    </w:p>
    <w:p>
      <w:pPr>
        <w:spacing w:after="0" w:line="1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1"/>
          <w:szCs w:val="21"/>
          <w:color w:val="auto"/>
        </w:rPr>
        <w:t>effective as of April 13, 2026, by and on behalf of</w:t>
      </w:r>
    </w:p>
    <w:p>
      <w:pPr>
        <w:sectPr>
          <w:pgSz w:w="11900" w:h="16900" w:orient="portrait"/>
          <w:cols w:equalWidth="0" w:num="1">
            <w:col w:w="11140"/>
          </w:cols>
          <w:pgMar w:left="360" w:top="409" w:right="399" w:bottom="0" w:gutter="0" w:footer="0" w:header="0"/>
          <w:type w:val="continuous"/>
        </w:sectPr>
      </w:pPr>
    </w:p>
    <w:bookmarkStart w:id="4" w:name="page5"/>
    <w:bookmarkEnd w:id="4"/>
    <w:p>
      <w:pPr>
        <w:ind w:left="6780"/>
        <w:spacing w:after="0"/>
        <w:rPr>
          <w:sz w:val="20"/>
          <w:szCs w:val="20"/>
          <w:color w:val="auto"/>
        </w:rPr>
      </w:pPr>
      <w:r>
        <w:rPr>
          <w:rFonts w:ascii="Times New Roman" w:cs="Times New Roman" w:eastAsia="Times New Roman" w:hAnsi="Times New Roman"/>
          <w:sz w:val="22"/>
          <w:szCs w:val="22"/>
          <w:color w:val="auto"/>
        </w:rPr>
        <w:t>Abigail P. Johnson*</w:t>
      </w:r>
    </w:p>
    <w:p>
      <w:pPr>
        <w:spacing w:after="0" w:line="45" w:lineRule="exact"/>
        <w:rPr>
          <w:sz w:val="20"/>
          <w:szCs w:val="20"/>
          <w:color w:val="auto"/>
        </w:rPr>
      </w:pPr>
    </w:p>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05/05/2026</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 xml:space="preserve">Comments accompanying signature: </w:t>
      </w:r>
      <w:r>
        <w:rPr>
          <w:rFonts w:ascii="Times New Roman" w:cs="Times New Roman" w:eastAsia="Times New Roman" w:hAnsi="Times New Roman"/>
          <w:sz w:val="21"/>
          <w:szCs w:val="21"/>
          <w:color w:val="auto"/>
        </w:rPr>
        <w:t>*This power of attorney is incorporated herein by reference to Exhibit 24 to the Schedule</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13G filed by FMR LLC on April 29,2026, accession number: 0000315066-26-000738.</w:t>
      </w:r>
    </w:p>
    <w:p>
      <w:pPr>
        <w:spacing w:after="0" w:line="5" w:lineRule="exact"/>
        <w:rPr>
          <w:sz w:val="20"/>
          <w:szCs w:val="20"/>
          <w:color w:val="auto"/>
        </w:rPr>
      </w:pPr>
    </w:p>
    <w:p>
      <w:pPr>
        <w:jc w:val="center"/>
        <w:ind w:right="688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Please see Exhibit 99 for 13d-1(k) (1) agreement.</w:t>
      </w:r>
    </w:p>
    <w:p>
      <w:pPr>
        <w:sectPr>
          <w:pgSz w:w="11900" w:h="16838" w:orient="portrait"/>
          <w:cols w:equalWidth="0" w:num="1">
            <w:col w:w="11200"/>
          </w:cols>
          <w:pgMar w:left="320" w:top="112" w:right="379"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Exhibit 99</w:t>
      </w:r>
    </w:p>
    <w:p>
      <w:pPr>
        <w:spacing w:after="0" w:line="200" w:lineRule="exact"/>
        <w:rPr>
          <w:sz w:val="20"/>
          <w:szCs w:val="20"/>
          <w:color w:val="auto"/>
        </w:rPr>
      </w:pPr>
    </w:p>
    <w:p>
      <w:pPr>
        <w:spacing w:after="0" w:line="204" w:lineRule="exact"/>
        <w:rPr>
          <w:sz w:val="20"/>
          <w:szCs w:val="20"/>
          <w:color w:val="auto"/>
        </w:rPr>
      </w:pPr>
    </w:p>
    <w:p>
      <w:pPr>
        <w:ind w:right="2019"/>
        <w:spacing w:after="0" w:line="274" w:lineRule="auto"/>
        <w:rPr>
          <w:sz w:val="20"/>
          <w:szCs w:val="20"/>
          <w:color w:val="auto"/>
        </w:rPr>
      </w:pPr>
      <w:r>
        <w:rPr>
          <w:rFonts w:ascii="Courier New" w:cs="Courier New" w:eastAsia="Courier New" w:hAnsi="Courier New"/>
          <w:sz w:val="18"/>
          <w:szCs w:val="18"/>
          <w:color w:val="auto"/>
        </w:rPr>
        <w:t>Pursuant to the instructions in Item 7 of Schedule 13G, the following table lists the identity and Item 3 classification, if applicable, of each relevant entity that beneficially owns shares of the security class being reported on this Schedule 13G.</w:t>
      </w:r>
    </w:p>
    <w:p>
      <w:pPr>
        <w:sectPr>
          <w:pgSz w:w="11900" w:h="16838" w:orient="portrait"/>
          <w:cols w:equalWidth="0" w:num="1">
            <w:col w:w="10139"/>
          </w:cols>
          <w:pgMar w:left="320" w:top="110" w:right="1440" w:bottom="1440" w:gutter="0" w:footer="0" w:header="0"/>
        </w:sectPr>
      </w:pPr>
    </w:p>
    <w:p>
      <w:pPr>
        <w:spacing w:after="0" w:line="8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Entity</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3 Classification</w:t>
      </w:r>
    </w:p>
    <w:p>
      <w:pPr>
        <w:spacing w:after="0" w:line="200" w:lineRule="exact"/>
        <w:rPr>
          <w:sz w:val="20"/>
          <w:szCs w:val="20"/>
          <w:color w:val="auto"/>
        </w:rPr>
      </w:pPr>
    </w:p>
    <w:p>
      <w:pPr>
        <w:sectPr>
          <w:pgSz w:w="11900" w:h="16838" w:orient="portrait"/>
          <w:cols w:equalWidth="0" w:num="2">
            <w:col w:w="640" w:space="320"/>
            <w:col w:w="9179"/>
          </w:cols>
          <w:pgMar w:left="320" w:top="110" w:right="1440" w:bottom="1440" w:gutter="0" w:footer="0" w:header="0"/>
          <w:type w:val="continuous"/>
        </w:sectPr>
      </w:pPr>
    </w:p>
    <w:p>
      <w:pPr>
        <w:spacing w:after="0" w:line="24"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FIAM LLC</w:t>
        <w:tab/>
        <w:t>IA</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Fidelity Institutional Asset Management Trust Company</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Fidelity Management &amp; Research Company LLC * IA</w:t>
      </w:r>
    </w:p>
    <w:p>
      <w:pPr>
        <w:spacing w:after="0"/>
        <w:tabs>
          <w:tab w:leader="none" w:pos="3680" w:val="left"/>
        </w:tabs>
        <w:rPr>
          <w:sz w:val="20"/>
          <w:szCs w:val="20"/>
          <w:color w:val="auto"/>
        </w:rPr>
      </w:pPr>
      <w:r>
        <w:rPr>
          <w:rFonts w:ascii="Courier New" w:cs="Courier New" w:eastAsia="Courier New" w:hAnsi="Courier New"/>
          <w:sz w:val="18"/>
          <w:szCs w:val="18"/>
          <w:color w:val="auto"/>
        </w:rPr>
        <w:t>Fidelity Management Trust Company</w:t>
      </w:r>
      <w:r>
        <w:rPr>
          <w:sz w:val="20"/>
          <w:szCs w:val="20"/>
          <w:color w:val="auto"/>
        </w:rPr>
        <w:tab/>
      </w:r>
      <w:r>
        <w:rPr>
          <w:rFonts w:ascii="Courier New" w:cs="Courier New" w:eastAsia="Courier New" w:hAnsi="Courier New"/>
          <w:sz w:val="16"/>
          <w:szCs w:val="16"/>
          <w:color w:val="auto"/>
        </w:rPr>
        <w:t>BK</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BK</w:t>
      </w:r>
    </w:p>
    <w:p>
      <w:pPr>
        <w:spacing w:after="0" w:line="495" w:lineRule="exact"/>
        <w:rPr>
          <w:sz w:val="20"/>
          <w:szCs w:val="20"/>
          <w:color w:val="auto"/>
        </w:rPr>
      </w:pPr>
    </w:p>
    <w:p>
      <w:pPr>
        <w:sectPr>
          <w:pgSz w:w="11900" w:h="16838" w:orient="portrait"/>
          <w:cols w:equalWidth="0" w:num="2">
            <w:col w:w="5580" w:space="220"/>
            <w:col w:w="4339"/>
          </w:cols>
          <w:pgMar w:left="320" w:top="110" w:right="1440" w:bottom="1440" w:gutter="0" w:footer="0" w:header="0"/>
          <w:type w:val="continuous"/>
        </w:sectPr>
      </w:pPr>
    </w:p>
    <w:p>
      <w:pPr>
        <w:spacing w:after="0"/>
        <w:tabs>
          <w:tab w:leader="none" w:pos="2520" w:val="left"/>
        </w:tabs>
        <w:rPr>
          <w:sz w:val="20"/>
          <w:szCs w:val="20"/>
          <w:color w:val="auto"/>
        </w:rPr>
      </w:pPr>
      <w:r>
        <w:rPr>
          <w:rFonts w:ascii="Courier New" w:cs="Courier New" w:eastAsia="Courier New" w:hAnsi="Courier New"/>
          <w:sz w:val="18"/>
          <w:szCs w:val="18"/>
          <w:color w:val="auto"/>
        </w:rPr>
        <w:t>Strategic Advisers LLC</w:t>
      </w:r>
      <w:r>
        <w:rPr>
          <w:sz w:val="20"/>
          <w:szCs w:val="20"/>
          <w:color w:val="auto"/>
        </w:rPr>
        <w:tab/>
      </w:r>
      <w:r>
        <w:rPr>
          <w:rFonts w:ascii="Courier New" w:cs="Courier New" w:eastAsia="Courier New" w:hAnsi="Courier New"/>
          <w:sz w:val="16"/>
          <w:szCs w:val="16"/>
          <w:color w:val="auto"/>
        </w:rPr>
        <w:t>IA</w:t>
      </w:r>
    </w:p>
    <w:p>
      <w:pPr>
        <w:spacing w:after="0" w:line="311" w:lineRule="exact"/>
        <w:rPr>
          <w:sz w:val="20"/>
          <w:szCs w:val="20"/>
          <w:color w:val="auto"/>
        </w:rPr>
      </w:pPr>
    </w:p>
    <w:p>
      <w:pPr>
        <w:ind w:right="2439" w:firstLine="8"/>
        <w:spacing w:after="0" w:line="346" w:lineRule="auto"/>
        <w:tabs>
          <w:tab w:leader="none" w:pos="211"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p>
      <w:pPr>
        <w:spacing w:after="0" w:line="222" w:lineRule="exact"/>
        <w:rPr>
          <w:sz w:val="20"/>
          <w:szCs w:val="20"/>
          <w:color w:val="auto"/>
        </w:rPr>
      </w:pPr>
    </w:p>
    <w:p>
      <w:pPr>
        <w:ind w:right="1919"/>
        <w:spacing w:after="0" w:line="346" w:lineRule="auto"/>
        <w:rPr>
          <w:sz w:val="20"/>
          <w:szCs w:val="20"/>
          <w:color w:val="auto"/>
        </w:rPr>
      </w:pPr>
      <w:r>
        <w:rPr>
          <w:rFonts w:ascii="Courier New" w:cs="Courier New" w:eastAsia="Courier New" w:hAnsi="Courier New"/>
          <w:sz w:val="18"/>
          <w:szCs w:val="18"/>
          <w:color w:val="auto"/>
        </w:rPr>
        <w:t>Abigail P. Johnson is a Director, the Chairman and the Chief Executive Officer of FMR LLC.</w:t>
      </w:r>
    </w:p>
    <w:p>
      <w:pPr>
        <w:spacing w:after="0" w:line="20" w:lineRule="exact"/>
        <w:rPr>
          <w:sz w:val="20"/>
          <w:szCs w:val="20"/>
          <w:color w:val="auto"/>
        </w:rPr>
      </w:pPr>
    </w:p>
    <w:p>
      <w:pPr>
        <w:ind w:right="1919"/>
        <w:spacing w:after="0" w:line="250" w:lineRule="auto"/>
        <w:rPr>
          <w:sz w:val="20"/>
          <w:szCs w:val="20"/>
          <w:color w:val="auto"/>
        </w:rPr>
      </w:pPr>
      <w:r>
        <w:rPr>
          <w:rFonts w:ascii="Courier New" w:cs="Courier New" w:eastAsia="Courier New" w:hAnsi="Courier New"/>
          <w:sz w:val="18"/>
          <w:szCs w:val="18"/>
          <w:color w:val="auto"/>
        </w:rPr>
        <w:t>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w:t>
      </w:r>
    </w:p>
    <w:p>
      <w:pPr>
        <w:spacing w:after="0" w:line="103" w:lineRule="exact"/>
        <w:rPr>
          <w:sz w:val="20"/>
          <w:szCs w:val="20"/>
          <w:color w:val="auto"/>
        </w:rPr>
      </w:pPr>
    </w:p>
    <w:p>
      <w:pPr>
        <w:ind w:right="1919"/>
        <w:spacing w:after="0" w:line="256" w:lineRule="auto"/>
        <w:rPr>
          <w:sz w:val="20"/>
          <w:szCs w:val="20"/>
          <w:color w:val="auto"/>
        </w:rPr>
      </w:pPr>
      <w:r>
        <w:rPr>
          <w:rFonts w:ascii="Courier New" w:cs="Courier New" w:eastAsia="Courier New" w:hAnsi="Courier New"/>
          <w:sz w:val="18"/>
          <w:szCs w:val="18"/>
          <w:color w:val="auto"/>
        </w:rPr>
        <w:t>This filing reflects the securities beneficially owned, or that may be deemed to be beneficially owned, by FMR LLC, certain of its subsidiaries and affiliates, and other companies (collectively, the "FMR Reporters"). This filing does not reflect securities, if any, beneficially owned by certain other companies whose beneficial ownership of securities is disaggregated from that of the FMR Reporters in accordance with Securities and Exchange Commission Release No. 34-39538 (January 12, 1998).</w:t>
      </w:r>
    </w:p>
    <w:p>
      <w:pPr>
        <w:spacing w:after="0" w:line="3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RULE 13d-1(k)(1) AGREEMENT</w:t>
      </w:r>
    </w:p>
    <w:p>
      <w:pPr>
        <w:spacing w:after="0" w:line="201" w:lineRule="exact"/>
        <w:rPr>
          <w:sz w:val="20"/>
          <w:szCs w:val="20"/>
          <w:color w:val="auto"/>
        </w:rPr>
      </w:pPr>
    </w:p>
    <w:p>
      <w:pPr>
        <w:ind w:right="1919"/>
        <w:spacing w:after="0" w:line="292" w:lineRule="auto"/>
        <w:rPr>
          <w:sz w:val="20"/>
          <w:szCs w:val="20"/>
          <w:color w:val="auto"/>
        </w:rPr>
      </w:pPr>
      <w:r>
        <w:rPr>
          <w:rFonts w:ascii="Courier New" w:cs="Courier New" w:eastAsia="Courier New" w:hAnsi="Courier New"/>
          <w:sz w:val="18"/>
          <w:szCs w:val="18"/>
          <w:color w:val="auto"/>
        </w:rPr>
        <w:t>The undersigned persons, on May 5, 2026, agree and consent to the joint filing on their behalf of this Schedule 13G in connection with their beneficial ownership of the COMMON STOCK of CERIBELL INC at March 31, 2026.</w:t>
      </w:r>
    </w:p>
    <w:p>
      <w:pPr>
        <w:spacing w:after="0" w:line="6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Richard Bourgelas</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Richard Bourgelas</w:t>
      </w:r>
    </w:p>
    <w:p>
      <w:pPr>
        <w:ind w:right="191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April 13, 2026, by and on behalf of FMR LLC and its direct and indirect subsidiaries*</w:t>
      </w:r>
    </w:p>
    <w:p>
      <w:pPr>
        <w:spacing w:after="0" w:line="5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Abigail P. Johnson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Richard Bourgelas</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Richard Bourgelas</w:t>
      </w:r>
    </w:p>
    <w:p>
      <w:pPr>
        <w:ind w:right="191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April 13, 2026, by and on behalf of Abigail P. Johnson*</w:t>
      </w:r>
    </w:p>
    <w:p>
      <w:pPr>
        <w:spacing w:after="0" w:line="253" w:lineRule="exact"/>
        <w:rPr>
          <w:sz w:val="20"/>
          <w:szCs w:val="20"/>
          <w:color w:val="auto"/>
        </w:rPr>
      </w:pPr>
    </w:p>
    <w:p>
      <w:pPr>
        <w:ind w:right="2119"/>
        <w:spacing w:after="0" w:line="292" w:lineRule="auto"/>
        <w:rPr>
          <w:sz w:val="20"/>
          <w:szCs w:val="20"/>
          <w:color w:val="auto"/>
        </w:rPr>
      </w:pPr>
      <w:r>
        <w:rPr>
          <w:rFonts w:ascii="Courier New" w:cs="Courier New" w:eastAsia="Courier New" w:hAnsi="Courier New"/>
          <w:sz w:val="18"/>
          <w:szCs w:val="18"/>
          <w:color w:val="auto"/>
        </w:rPr>
        <w:t>*This power of attorney is incorporated herein by reference to Exhibit 24 to the Schedule 13G filed by FMR LLC on April 29,2026, accession number: 0000315066-26-000738.</w:t>
      </w:r>
    </w:p>
    <w:sectPr>
      <w:pgSz w:w="11900" w:h="16838" w:orient="portrait"/>
      <w:cols w:equalWidth="0" w:num="1">
        <w:col w:w="10139"/>
      </w:cols>
      <w:pgMar w:left="320" w:top="110"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5"/>
      <w:numFmt w:val="bullet"/>
      <w:start w:val="1"/>
    </w:lvl>
  </w:abstractNum>
  <w:abstractNum w:abstractNumId="3">
    <w:nsid w:val="3D1B58BA"/>
    <w:multiLevelType w:val="hybridMultilevel"/>
    <w:lvl w:ilvl="0">
      <w:lvlJc w:val="left"/>
      <w:lvlText w:val="%1"/>
      <w:numFmt w:val="decimal"/>
      <w:start w:val="11"/>
    </w:lvl>
  </w:abstractNum>
  <w:abstractNum w:abstractNumId="4">
    <w:nsid w:val="507ED7AB"/>
    <w:multiLevelType w:val="hybridMultilevel"/>
    <w:lvl w:ilvl="0">
      <w:lvlJc w:val="left"/>
      <w:lvlText w:val="(%1)"/>
      <w:numFmt w:val="lowerLetter"/>
      <w:start w:val="3"/>
    </w:lvl>
  </w:abstractNum>
  <w:abstractNum w:abstractNumId="5">
    <w:nsid w:val="2EB141F2"/>
    <w:multiLevelType w:val="hybridMultilevel"/>
    <w:lvl w:ilvl="0">
      <w:lvlJc w:val="left"/>
      <w:lvlText w:val="(%1)"/>
      <w:numFmt w:val="lowerRoman"/>
      <w:start w:val="2"/>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2026-05-06T10:08:01Z</dcterms:created>
  <dcterms:modified xsi:type="dcterms:W3CDTF">2026-05-06T10:08:01Z</dcterms:modified>
</cp:coreProperties>
</file>