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CeriBell,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001-42364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47-1785452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360 N. Pastoria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CBLL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22222"/>
        </w:rPr>
        <w:t>The 2026 Annual Meeting of Stockholders (the “Meeting”) of CeriBell, Inc. (the “Company”) was held on June 2, 2026. At the Meeting, the Company’s stockholders voted on the following two proposals and cast their votes as described below.</w:t>
      </w:r>
    </w:p>
    <w:p>
      <w:pPr>
        <w:spacing w:after="0" w:line="94" w:lineRule="exact"/>
        <w:rPr>
          <w:sz w:val="20"/>
          <w:szCs w:val="20"/>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The nominees listed below were elected at the Meeting to serve as Class II directors of the Company until the 2029 Annual Meeting of Stockholders and until their successors have been duly elected and qualified:</w:t>
      </w:r>
    </w:p>
    <w:p>
      <w:pPr>
        <w:spacing w:after="0" w:line="162"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8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Nominee</w:t>
            </w:r>
          </w:p>
        </w:tc>
        <w:tc>
          <w:tcPr>
            <w:tcW w:w="228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For</w:t>
            </w:r>
          </w:p>
        </w:tc>
        <w:tc>
          <w:tcPr>
            <w:tcW w:w="23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Withheld</w:t>
            </w:r>
          </w:p>
        </w:tc>
        <w:tc>
          <w:tcPr>
            <w:tcW w:w="26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80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99"/>
              </w:rPr>
              <w:t>Josef Parvizi, M.D., Ph.D.</w:t>
            </w:r>
          </w:p>
        </w:tc>
        <w:tc>
          <w:tcPr>
            <w:tcW w:w="22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25,961,193</w:t>
            </w:r>
          </w:p>
        </w:tc>
        <w:tc>
          <w:tcPr>
            <w:tcW w:w="234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2,311,420</w:t>
            </w:r>
          </w:p>
        </w:tc>
        <w:tc>
          <w:tcPr>
            <w:tcW w:w="268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4,374,728</w:t>
            </w:r>
          </w:p>
        </w:tc>
      </w:tr>
      <w:tr>
        <w:trPr>
          <w:trHeight w:val="234"/>
        </w:trPr>
        <w:tc>
          <w:tcPr>
            <w:tcW w:w="2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Rebecca Robertson</w:t>
            </w:r>
          </w:p>
        </w:tc>
        <w:tc>
          <w:tcPr>
            <w:tcW w:w="2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25,948,634</w:t>
            </w:r>
          </w:p>
        </w:tc>
        <w:tc>
          <w:tcPr>
            <w:tcW w:w="2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2,323,979</w:t>
            </w:r>
          </w:p>
        </w:tc>
        <w:tc>
          <w:tcPr>
            <w:tcW w:w="2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4,374,728</w:t>
            </w:r>
          </w:p>
        </w:tc>
      </w:tr>
    </w:tbl>
    <w:p>
      <w:pPr>
        <w:spacing w:after="0" w:line="287"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The proposal to ratify the appointment of PricewaterhouseCoopers LLP as the Company’s independent registered public accounting firm for the fiscal year ending December 31, 2026 was approved: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Abstained</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1020" w:type="dxa"/>
            <w:vAlign w:val="bottom"/>
          </w:tcPr>
          <w:p>
            <w:pPr>
              <w:spacing w:after="0"/>
              <w:rPr>
                <w:sz w:val="18"/>
                <w:szCs w:val="18"/>
                <w:color w:val="auto"/>
              </w:rPr>
            </w:pPr>
          </w:p>
        </w:tc>
        <w:tc>
          <w:tcPr>
            <w:tcW w:w="2580" w:type="dxa"/>
            <w:vAlign w:val="bottom"/>
            <w:tcBorders>
              <w:top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32,623,328</w:t>
            </w:r>
          </w:p>
        </w:tc>
        <w:tc>
          <w:tcPr>
            <w:tcW w:w="2420" w:type="dxa"/>
            <w:vAlign w:val="bottom"/>
            <w:tcBorders>
              <w:top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5,177</w:t>
            </w:r>
          </w:p>
        </w:tc>
        <w:tc>
          <w:tcPr>
            <w:tcW w:w="242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18,836</w:t>
            </w:r>
          </w:p>
        </w:tc>
        <w:tc>
          <w:tcPr>
            <w:tcW w:w="2680" w:type="dxa"/>
            <w:vAlign w:val="bottom"/>
            <w:tcBorders>
              <w:top w:val="single" w:sz="8" w:color="auto"/>
            </w:tcBorders>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r>
      <w:tr>
        <w:trPr>
          <w:trHeight w:val="1478"/>
        </w:trPr>
        <w:tc>
          <w:tcPr>
            <w:tcW w:w="10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8"/>
          <w:szCs w:val="18"/>
          <w:color w:val="auto"/>
        </w:rPr>
        <w:t>By:</w:t>
        <w:tab/>
        <w:t>/s/ Scott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Blumberg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2026-06-02T15:27:59Z</dcterms:created>
  <dcterms:modified xsi:type="dcterms:W3CDTF">2026-06-02T15:27:59Z</dcterms:modified>
</cp:coreProperties>
</file>