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509270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524510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145415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January 13,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187960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CeriBell, Inc.</w:t>
      </w:r>
    </w:p>
    <w:p>
      <w:pPr>
        <w:spacing w:after="0" w:line="79"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213360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305" w:type="dxa"/>
        <w:tblCellMar>
          <w:top w:w="0" w:type="dxa"/>
          <w:left w:w="0" w:type="dxa"/>
          <w:bottom w:w="0" w:type="dxa"/>
          <w:right w:w="0" w:type="dxa"/>
        </w:tblCellMar>
      </w:tblPr>
      <w:tr>
        <w:trPr>
          <w:trHeight w:val="195"/>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260" w:type="dxa"/>
            <w:vAlign w:val="bottom"/>
          </w:tcPr>
          <w:p>
            <w:pPr>
              <w:jc w:val="right"/>
              <w:ind w:right="1311"/>
              <w:spacing w:after="0"/>
              <w:rPr>
                <w:sz w:val="20"/>
                <w:szCs w:val="20"/>
                <w:color w:val="auto"/>
              </w:rPr>
            </w:pPr>
            <w:r>
              <w:rPr>
                <w:rFonts w:ascii="Times New Roman" w:cs="Times New Roman" w:eastAsia="Times New Roman" w:hAnsi="Times New Roman"/>
                <w:sz w:val="16"/>
                <w:szCs w:val="16"/>
                <w:b w:val="1"/>
                <w:bCs w:val="1"/>
                <w:color w:val="auto"/>
              </w:rPr>
              <w:t>333-281784</w:t>
            </w: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47-1785452</w:t>
            </w:r>
          </w:p>
        </w:tc>
      </w:tr>
      <w:tr>
        <w:trPr>
          <w:trHeight w:val="130"/>
        </w:trPr>
        <w:tc>
          <w:tcPr>
            <w:tcW w:w="2840" w:type="dxa"/>
            <w:vAlign w:val="bottom"/>
          </w:tcPr>
          <w:p>
            <w:pPr>
              <w:jc w:val="center"/>
              <w:ind w:right="771"/>
              <w:spacing w:after="0" w:line="130"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3260" w:type="dxa"/>
            <w:vAlign w:val="bottom"/>
          </w:tcPr>
          <w:p>
            <w:pPr>
              <w:jc w:val="center"/>
              <w:ind w:right="21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020" w:type="dxa"/>
            <w:vAlign w:val="bottom"/>
          </w:tcPr>
          <w:p>
            <w:pPr>
              <w:jc w:val="center"/>
              <w:ind w:left="1013"/>
              <w:spacing w:after="0" w:line="130"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5"/>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48"/>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6"/>
                <w:szCs w:val="16"/>
                <w:b w:val="1"/>
                <w:bCs w:val="1"/>
                <w:color w:val="auto"/>
                <w:w w:val="97"/>
              </w:rPr>
              <w:t>360 N. Pastoria Avenue</w:t>
            </w:r>
          </w:p>
        </w:tc>
        <w:tc>
          <w:tcPr>
            <w:tcW w:w="3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95"/>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6"/>
                <w:szCs w:val="16"/>
                <w:b w:val="1"/>
                <w:bCs w:val="1"/>
                <w:color w:val="auto"/>
                <w:w w:val="97"/>
              </w:rPr>
              <w:t>Sunnyvale, California</w:t>
            </w:r>
          </w:p>
        </w:tc>
        <w:tc>
          <w:tcPr>
            <w:tcW w:w="3260" w:type="dxa"/>
            <w:vAlign w:val="bottom"/>
          </w:tcPr>
          <w:p>
            <w:pPr>
              <w:spacing w:after="0"/>
              <w:rPr>
                <w:sz w:val="16"/>
                <w:szCs w:val="16"/>
                <w:color w:val="auto"/>
              </w:rPr>
            </w:pPr>
          </w:p>
        </w:tc>
        <w:tc>
          <w:tcPr>
            <w:tcW w:w="20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94085</w:t>
            </w:r>
          </w:p>
        </w:tc>
      </w:tr>
      <w:tr>
        <w:trPr>
          <w:trHeight w:val="155"/>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359"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800 436-0826</w:t>
      </w:r>
    </w:p>
    <w:p>
      <w:pPr>
        <w:spacing w:after="0" w:line="200" w:lineRule="exact"/>
        <w:rPr>
          <w:sz w:val="24"/>
          <w:szCs w:val="24"/>
          <w:color w:val="auto"/>
        </w:rPr>
      </w:pPr>
    </w:p>
    <w:p>
      <w:pPr>
        <w:spacing w:after="0" w:line="331"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220980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47"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sz w:val="24"/>
          <w:szCs w:val="24"/>
          <w:color w:val="auto"/>
        </w:rPr>
      </w:pPr>
    </w:p>
    <w:tbl>
      <w:tblPr>
        <w:tblLayout w:type="fixed"/>
        <w:tblInd w:w="5" w:type="dxa"/>
        <w:tblCellMar>
          <w:top w:w="0" w:type="dxa"/>
          <w:left w:w="0" w:type="dxa"/>
          <w:bottom w:w="0" w:type="dxa"/>
          <w:right w:w="0" w:type="dxa"/>
        </w:tblCellMar>
      </w:tblPr>
      <w:tr>
        <w:trPr>
          <w:trHeight w:val="208"/>
        </w:trPr>
        <w:tc>
          <w:tcPr>
            <w:tcW w:w="3600" w:type="dxa"/>
            <w:vAlign w:val="bottom"/>
          </w:tcPr>
          <w:p>
            <w:pPr>
              <w:spacing w:after="0"/>
              <w:rPr>
                <w:sz w:val="18"/>
                <w:szCs w:val="18"/>
                <w:color w:val="auto"/>
              </w:rPr>
            </w:pPr>
          </w:p>
        </w:tc>
        <w:tc>
          <w:tcPr>
            <w:tcW w:w="766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312"/>
        </w:trPr>
        <w:tc>
          <w:tcPr>
            <w:tcW w:w="3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Trading</w:t>
            </w:r>
          </w:p>
        </w:tc>
        <w:tc>
          <w:tcPr>
            <w:tcW w:w="12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208"/>
        </w:trPr>
        <w:tc>
          <w:tcPr>
            <w:tcW w:w="3600" w:type="dxa"/>
            <w:vAlign w:val="bottom"/>
            <w:tcBorders>
              <w:bottom w:val="single" w:sz="8" w:color="auto"/>
            </w:tcBorders>
          </w:tcPr>
          <w:p>
            <w:pPr>
              <w:jc w:val="center"/>
              <w:ind w:left="581"/>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198"/>
        </w:trPr>
        <w:tc>
          <w:tcPr>
            <w:tcW w:w="3600" w:type="dxa"/>
            <w:vAlign w:val="bottom"/>
          </w:tcPr>
          <w:p>
            <w:pPr>
              <w:jc w:val="center"/>
              <w:ind w:left="581"/>
              <w:spacing w:after="0"/>
              <w:rPr>
                <w:sz w:val="20"/>
                <w:szCs w:val="20"/>
                <w:color w:val="auto"/>
              </w:rPr>
            </w:pPr>
            <w:r>
              <w:rPr>
                <w:rFonts w:ascii="Times New Roman" w:cs="Times New Roman" w:eastAsia="Times New Roman" w:hAnsi="Times New Roman"/>
                <w:sz w:val="16"/>
                <w:szCs w:val="16"/>
                <w:color w:val="auto"/>
                <w:w w:val="98"/>
              </w:rPr>
              <w:t>Common stock, $0.001 par value per share</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CBLL</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Nasdaq Global Select Market</w:t>
            </w:r>
          </w:p>
        </w:tc>
      </w:tr>
    </w:tbl>
    <w:p>
      <w:pPr>
        <w:spacing w:after="0" w:line="155" w:lineRule="exact"/>
        <w:rPr>
          <w:sz w:val="24"/>
          <w:szCs w:val="24"/>
          <w:color w:val="auto"/>
        </w:rPr>
      </w:pPr>
    </w:p>
    <w:p>
      <w:pPr>
        <w:ind w:left="5"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3"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1" w:lineRule="exact"/>
        <w:rPr>
          <w:sz w:val="24"/>
          <w:szCs w:val="24"/>
          <w:color w:val="auto"/>
        </w:rPr>
      </w:pPr>
    </w:p>
    <w:p>
      <w:pPr>
        <w:ind w:left="5" w:right="32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1494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535305</wp:posOffset>
            </wp:positionV>
            <wp:extent cx="717486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079" w:right="319" w:bottom="1440" w:gutter="0" w:footer="0" w:header="0"/>
        </w:sectPr>
      </w:pPr>
    </w:p>
    <w:bookmarkStart w:id="1" w:name="page2"/>
    <w:bookmarkEnd w:id="1"/>
    <w:p>
      <w:pPr>
        <w:spacing w:after="0"/>
        <w:tabs>
          <w:tab w:leader="none" w:pos="1220" w:val="left"/>
        </w:tabs>
        <w:rPr>
          <w:sz w:val="20"/>
          <w:szCs w:val="20"/>
          <w:color w:val="auto"/>
        </w:rPr>
      </w:pPr>
      <w:r>
        <w:rPr>
          <w:rFonts w:ascii="Times New Roman" w:cs="Times New Roman" w:eastAsia="Times New Roman" w:hAnsi="Times New Roman"/>
          <w:sz w:val="16"/>
          <w:szCs w:val="16"/>
          <w:b w:val="1"/>
          <w:bCs w:val="1"/>
          <w:color w:val="auto"/>
        </w:rPr>
        <w:t>Item 7.01</w:t>
      </w:r>
      <w:r>
        <w:rPr>
          <w:sz w:val="20"/>
          <w:szCs w:val="20"/>
          <w:color w:val="auto"/>
        </w:rPr>
        <w:tab/>
      </w:r>
      <w:r>
        <w:rPr>
          <w:rFonts w:ascii="Times New Roman" w:cs="Times New Roman" w:eastAsia="Times New Roman" w:hAnsi="Times New Roman"/>
          <w:sz w:val="15"/>
          <w:szCs w:val="15"/>
          <w:b w:val="1"/>
          <w:bCs w:val="1"/>
          <w:color w:val="auto"/>
        </w:rPr>
        <w:t>Regulation FD Disclosure.</w:t>
      </w:r>
    </w:p>
    <w:p>
      <w:pPr>
        <w:spacing w:after="0" w:line="196" w:lineRule="exact"/>
        <w:rPr>
          <w:sz w:val="20"/>
          <w:szCs w:val="20"/>
          <w:color w:val="auto"/>
        </w:rPr>
      </w:pPr>
    </w:p>
    <w:p>
      <w:pPr>
        <w:ind w:right="240"/>
        <w:spacing w:after="0" w:line="276" w:lineRule="auto"/>
        <w:rPr>
          <w:sz w:val="20"/>
          <w:szCs w:val="20"/>
          <w:color w:val="auto"/>
        </w:rPr>
      </w:pPr>
      <w:r>
        <w:rPr>
          <w:rFonts w:ascii="Times New Roman" w:cs="Times New Roman" w:eastAsia="Times New Roman" w:hAnsi="Times New Roman"/>
          <w:sz w:val="16"/>
          <w:szCs w:val="16"/>
          <w:color w:val="auto"/>
        </w:rPr>
        <w:t>Ceribell, Inc. is scheduled to present at the 2025 J.P. Morgan Annual Healthcare Conference on January 13, 2025. A copy of this presentation is attached as Exhibit 99.1 and is incorporated herein by reference.</w:t>
      </w:r>
    </w:p>
    <w:p>
      <w:pPr>
        <w:spacing w:after="0" w:line="145"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6"/>
          <w:szCs w:val="16"/>
          <w:color w:val="auto"/>
        </w:rPr>
        <w:t>The information in this Item 7.01 of this Current Report on Form 8-K and Exhibit 99.1 attached hereto shall not be deemed "filed' for purposes of Section 18 of the Securities Exchange Act of 1934, as amended (the "Exchange Act"), or otherwise subject to the liabilities of that section, nor shall it be deemed incorporated by reference in any filing under the Exchange Act or the Securities Act of 1933, as amended, except as expressly set forth by specific reference in such filing.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Item 9.01</w:t>
            </w:r>
          </w:p>
        </w:tc>
        <w:tc>
          <w:tcPr>
            <w:tcW w:w="1002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Statements and Exhibits.</w:t>
            </w:r>
          </w:p>
        </w:tc>
        <w:tc>
          <w:tcPr>
            <w:tcW w:w="20" w:type="dxa"/>
            <w:vAlign w:val="bottom"/>
          </w:tcPr>
          <w:p>
            <w:pPr>
              <w:spacing w:after="0"/>
              <w:rPr>
                <w:sz w:val="18"/>
                <w:szCs w:val="18"/>
                <w:color w:val="auto"/>
              </w:rPr>
            </w:pPr>
          </w:p>
        </w:tc>
      </w:tr>
      <w:tr>
        <w:trPr>
          <w:trHeight w:val="319"/>
        </w:trPr>
        <w:tc>
          <w:tcPr>
            <w:tcW w:w="20" w:type="dxa"/>
            <w:vAlign w:val="bottom"/>
          </w:tcPr>
          <w:p>
            <w:pPr>
              <w:spacing w:after="0"/>
              <w:rPr>
                <w:sz w:val="24"/>
                <w:szCs w:val="24"/>
                <w:color w:val="auto"/>
              </w:rPr>
            </w:pPr>
          </w:p>
        </w:tc>
        <w:tc>
          <w:tcPr>
            <w:tcW w:w="12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Exhibit No.</w:t>
            </w:r>
          </w:p>
        </w:tc>
        <w:tc>
          <w:tcPr>
            <w:tcW w:w="220" w:type="dxa"/>
            <w:vAlign w:val="bottom"/>
          </w:tcPr>
          <w:p>
            <w:pPr>
              <w:spacing w:after="0"/>
              <w:rPr>
                <w:sz w:val="24"/>
                <w:szCs w:val="24"/>
                <w:color w:val="auto"/>
              </w:rPr>
            </w:pPr>
          </w:p>
        </w:tc>
        <w:tc>
          <w:tcPr>
            <w:tcW w:w="980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Description</w:t>
            </w:r>
          </w:p>
        </w:tc>
        <w:tc>
          <w:tcPr>
            <w:tcW w:w="20" w:type="dxa"/>
            <w:vAlign w:val="bottom"/>
          </w:tcPr>
          <w:p>
            <w:pPr>
              <w:spacing w:after="0"/>
              <w:rPr>
                <w:sz w:val="24"/>
                <w:szCs w:val="24"/>
                <w:color w:val="auto"/>
              </w:rPr>
            </w:pPr>
          </w:p>
        </w:tc>
      </w:tr>
      <w:tr>
        <w:trPr>
          <w:trHeight w:val="146"/>
        </w:trPr>
        <w:tc>
          <w:tcPr>
            <w:tcW w:w="20" w:type="dxa"/>
            <w:vAlign w:val="bottom"/>
          </w:tcPr>
          <w:p>
            <w:pPr>
              <w:spacing w:after="0"/>
              <w:rPr>
                <w:sz w:val="12"/>
                <w:szCs w:val="12"/>
                <w:color w:val="auto"/>
              </w:rPr>
            </w:pPr>
          </w:p>
        </w:tc>
        <w:tc>
          <w:tcPr>
            <w:tcW w:w="1200" w:type="dxa"/>
            <w:vAlign w:val="bottom"/>
            <w:tcBorders>
              <w:top w:val="single" w:sz="8" w:color="auto"/>
            </w:tcBorders>
          </w:tcPr>
          <w:p>
            <w:pPr>
              <w:spacing w:after="0" w:line="145" w:lineRule="exact"/>
              <w:rPr>
                <w:sz w:val="20"/>
                <w:szCs w:val="20"/>
                <w:color w:val="auto"/>
              </w:rPr>
            </w:pPr>
            <w:r>
              <w:rPr>
                <w:rFonts w:ascii="Times New Roman" w:cs="Times New Roman" w:eastAsia="Times New Roman" w:hAnsi="Times New Roman"/>
                <w:sz w:val="16"/>
                <w:szCs w:val="16"/>
                <w:color w:val="auto"/>
              </w:rPr>
              <w:t>99.1</w:t>
            </w:r>
          </w:p>
        </w:tc>
        <w:tc>
          <w:tcPr>
            <w:tcW w:w="220" w:type="dxa"/>
            <w:vAlign w:val="bottom"/>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3540" w:type="dxa"/>
            <w:vAlign w:val="bottom"/>
            <w:tcBorders>
              <w:top w:val="single" w:sz="8" w:color="auto"/>
              <w:bottom w:val="single" w:sz="8" w:color="0000FF"/>
            </w:tcBorders>
          </w:tcPr>
          <w:p>
            <w:pPr>
              <w:spacing w:after="0" w:line="145" w:lineRule="exact"/>
              <w:rPr>
                <w:sz w:val="20"/>
                <w:szCs w:val="20"/>
                <w:color w:val="auto"/>
              </w:rPr>
            </w:pPr>
            <w:r>
              <w:rPr>
                <w:rFonts w:ascii="Times New Roman" w:cs="Times New Roman" w:eastAsia="Times New Roman" w:hAnsi="Times New Roman"/>
                <w:sz w:val="16"/>
                <w:szCs w:val="16"/>
                <w:color w:val="0000FF"/>
                <w:w w:val="97"/>
              </w:rPr>
              <w:t>Presentation Slides made available on January 13, 2025.</w:t>
            </w:r>
          </w:p>
        </w:tc>
        <w:tc>
          <w:tcPr>
            <w:tcW w:w="20" w:type="dxa"/>
            <w:vAlign w:val="bottom"/>
            <w:tcBorders>
              <w:top w:val="single" w:sz="8" w:color="auto"/>
              <w:bottom w:val="single" w:sz="8" w:color="0000EE"/>
            </w:tcBorders>
          </w:tcPr>
          <w:p>
            <w:pPr>
              <w:spacing w:after="0"/>
              <w:rPr>
                <w:sz w:val="12"/>
                <w:szCs w:val="12"/>
                <w:color w:val="auto"/>
              </w:rPr>
            </w:pPr>
          </w:p>
        </w:tc>
        <w:tc>
          <w:tcPr>
            <w:tcW w:w="62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205"/>
        </w:trPr>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104</w:t>
            </w:r>
          </w:p>
        </w:tc>
        <w:tc>
          <w:tcPr>
            <w:tcW w:w="220" w:type="dxa"/>
            <w:vAlign w:val="bottom"/>
          </w:tcPr>
          <w:p>
            <w:pPr>
              <w:spacing w:after="0"/>
              <w:rPr>
                <w:sz w:val="17"/>
                <w:szCs w:val="17"/>
                <w:color w:val="auto"/>
              </w:rPr>
            </w:pPr>
          </w:p>
        </w:tc>
        <w:tc>
          <w:tcPr>
            <w:tcW w:w="98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in Inline XBRL.</w:t>
            </w:r>
          </w:p>
        </w:tc>
        <w:tc>
          <w:tcPr>
            <w:tcW w:w="20" w:type="dxa"/>
            <w:vAlign w:val="bottom"/>
          </w:tcPr>
          <w:p>
            <w:pPr>
              <w:spacing w:after="0"/>
              <w:rPr>
                <w:sz w:val="17"/>
                <w:szCs w:val="17"/>
                <w:color w:val="auto"/>
              </w:rPr>
            </w:pPr>
          </w:p>
        </w:tc>
      </w:tr>
      <w:tr>
        <w:trPr>
          <w:trHeight w:val="1233"/>
        </w:trPr>
        <w:tc>
          <w:tcPr>
            <w:tcW w:w="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689"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6"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03"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6"/>
          <w:szCs w:val="16"/>
          <w:b w:val="1"/>
          <w:bCs w:val="1"/>
          <w:color w:val="auto"/>
        </w:rPr>
        <w:t>CERIBELL, INC.</w:t>
      </w:r>
    </w:p>
    <w:p>
      <w:pPr>
        <w:spacing w:after="0" w:line="220" w:lineRule="exact"/>
        <w:rPr>
          <w:sz w:val="20"/>
          <w:szCs w:val="20"/>
          <w:color w:val="auto"/>
        </w:rPr>
      </w:pPr>
    </w:p>
    <w:p>
      <w:pPr>
        <w:spacing w:after="0"/>
        <w:tabs>
          <w:tab w:leader="none" w:pos="5740" w:val="left"/>
          <w:tab w:leader="none" w:pos="6180" w:val="left"/>
        </w:tabs>
        <w:rPr>
          <w:sz w:val="20"/>
          <w:szCs w:val="20"/>
          <w:color w:val="auto"/>
        </w:rPr>
      </w:pPr>
      <w:r>
        <w:rPr>
          <w:rFonts w:ascii="Times New Roman" w:cs="Times New Roman" w:eastAsia="Times New Roman" w:hAnsi="Times New Roman"/>
          <w:sz w:val="16"/>
          <w:szCs w:val="16"/>
          <w:color w:val="auto"/>
        </w:rPr>
        <w:t>Date: January 13, 2025</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Scott Blumberg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3938905</wp:posOffset>
            </wp:positionH>
            <wp:positionV relativeFrom="paragraph">
              <wp:posOffset>13970</wp:posOffset>
            </wp:positionV>
            <wp:extent cx="319913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99130" cy="7620"/>
                    </a:xfrm>
                    <a:prstGeom prst="rect">
                      <a:avLst/>
                    </a:prstGeom>
                    <a:noFill/>
                  </pic:spPr>
                </pic:pic>
              </a:graphicData>
            </a:graphic>
          </wp:anchor>
        </w:drawing>
      </w:r>
    </w:p>
    <w:p>
      <w:pPr>
        <w:spacing w:after="0" w:line="3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Scott Blumberg</w:t>
      </w:r>
    </w:p>
    <w:p>
      <w:pPr>
        <w:spacing w:after="0" w:line="2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541655</wp:posOffset>
            </wp:positionV>
            <wp:extent cx="717486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689" w:right="35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53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6775" cy="4353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2025-01-13T09:34:45Z</dcterms:created>
  <dcterms:modified xsi:type="dcterms:W3CDTF">2025-01-13T09:34:45Z</dcterms:modified>
</cp:coreProperties>
</file>