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0002035784</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Chao Xingjuan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44"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756538.99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37095690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11/21/2025</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11/21/2025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07/07/2021</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12/13/2024</w:t>
      </w:r>
    </w:p>
    <w:p>
      <w:pPr>
        <w:spacing w:after="0" w:line="623" w:lineRule="exact"/>
        <w:rPr>
          <w:sz w:val="20"/>
          <w:szCs w:val="20"/>
          <w:color w:val="auto"/>
        </w:rPr>
      </w:pPr>
    </w:p>
    <w:p>
      <w:pPr>
        <w:sectPr>
          <w:pgSz w:w="11900" w:h="16838" w:orient="portrait"/>
          <w:cols w:equalWidth="0" w:num="2">
            <w:col w:w="3380" w:space="620"/>
            <w:col w:w="72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6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786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Brokerage Services LLC, as attorney-in-fact for Xingjuan Chao</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7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2025-11-21T17:12:59Z</dcterms:created>
  <dcterms:modified xsi:type="dcterms:W3CDTF">2025-11-21T17:12:59Z</dcterms:modified>
</cp:coreProperties>
</file>