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CeriBell,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15678C102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Xingjuan Chao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1,618,142.00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369,088.00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1,618,142.00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369,088.00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1,987,230.00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CeriBell,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360 N. Pastoria Avenue, Sunnyvale, CA 94085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Xingjuan Chao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for the reporting person is c/o CeriBell, Inc., 360 N. Pastoria Avenue, Sunnyvale, CA 94085.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15678C102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 to this Schedule 13G is incorporated by reference into this Item 4. The ownership information presented herein represents beneficial ownership of common stock (the "Common Stock") as</w:t>
      </w:r>
    </w:p>
    <w:p>
      <w:pPr>
        <w:spacing w:after="0" w:line="1" w:lineRule="exact"/>
        <w:rPr>
          <w:sz w:val="20"/>
          <w:szCs w:val="20"/>
          <w:color w:val="auto"/>
        </w:rPr>
      </w:pPr>
    </w:p>
    <w:p>
      <w:pPr>
        <w:ind w:left="920" w:right="24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December 31, 2024, based upon 35,824,244 shares of Common Stock outstanding as of November 11, 2024, as disclosed in the Issuer's Quarterly Report on Form 10-Q filed with the Securities and Exchange Commission on November 12, 2024. The reporting person is the record holder of 661,201 shares of Common Stock and may be deemed to beneficially own 956,941 shares of Common Stock underlying stock options exercisable on or within 60 days of December 31, 2024. The reporting person may also be deemed to share beneficial ownership of 369,088 shares of Common Stock held by the ACP 2021 Trust of which she is a co-trustee.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1,618,142</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369,088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1,618,142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369,088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Xingjuan Chao</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Xingjuan Chao</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President,</w:t>
      </w:r>
      <w:r>
        <w:rPr>
          <w:rFonts w:ascii="Times New Roman" w:cs="Times New Roman" w:eastAsia="Times New Roman" w:hAnsi="Times New Roman"/>
          <w:sz w:val="37"/>
          <w:szCs w:val="37"/>
          <w:color w:val="auto"/>
          <w:vertAlign w:val="subscript"/>
        </w:rPr>
        <w:t>Founder</w:t>
      </w:r>
      <w:r>
        <w:rPr>
          <w:rFonts w:ascii="Times New Roman" w:cs="Times New Roman" w:eastAsia="Times New Roman" w:hAnsi="Times New Roman"/>
          <w:sz w:val="19"/>
          <w:szCs w:val="19"/>
          <w:color w:val="auto"/>
        </w:rPr>
        <w:t xml:space="preserve"> Chief Executive Officer, and Co-</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02/12/2025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2025-02-12T11:47:37Z</dcterms:created>
  <dcterms:modified xsi:type="dcterms:W3CDTF">2025-02-12T11:47:37Z</dcterms:modified>
</cp:coreProperties>
</file>