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1289050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7"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8"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63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6"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43"/>
          <w:szCs w:val="43"/>
          <w:b w:val="1"/>
          <w:bCs w:val="1"/>
          <w:color w:val="auto"/>
        </w:rPr>
        <w:t>CeriBell, Inc.</w:t>
      </w:r>
    </w:p>
    <w:p>
      <w:pPr>
        <w:spacing w:after="0" w:line="58"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tbl>
      <w:tblPr>
        <w:tblLayout w:type="fixed"/>
        <w:tblInd w:w="720" w:type="dxa"/>
        <w:tblCellMar>
          <w:top w:w="0" w:type="dxa"/>
          <w:left w:w="0" w:type="dxa"/>
          <w:bottom w:w="0" w:type="dxa"/>
          <w:right w:w="0" w:type="dxa"/>
        </w:tblCellMar>
      </w:tblPr>
      <w:tr>
        <w:trPr>
          <w:trHeight w:val="214"/>
        </w:trPr>
        <w:tc>
          <w:tcPr>
            <w:tcW w:w="3500" w:type="dxa"/>
            <w:vAlign w:val="bottom"/>
          </w:tcPr>
          <w:p>
            <w:pPr>
              <w:jc w:val="center"/>
              <w:ind w:right="10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2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001-42364</w:t>
            </w:r>
          </w:p>
        </w:tc>
        <w:tc>
          <w:tcPr>
            <w:tcW w:w="2720" w:type="dxa"/>
            <w:vAlign w:val="bottom"/>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47-1785452</w:t>
            </w:r>
          </w:p>
        </w:tc>
      </w:tr>
      <w:tr>
        <w:trPr>
          <w:trHeight w:val="148"/>
        </w:trPr>
        <w:tc>
          <w:tcPr>
            <w:tcW w:w="3500" w:type="dxa"/>
            <w:vAlign w:val="bottom"/>
          </w:tcPr>
          <w:p>
            <w:pPr>
              <w:jc w:val="center"/>
              <w:ind w:right="10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22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20" w:type="dxa"/>
            <w:vAlign w:val="bottom"/>
          </w:tcPr>
          <w:p>
            <w:pPr>
              <w:jc w:val="center"/>
              <w:ind w:left="12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00" w:type="dxa"/>
            <w:vAlign w:val="bottom"/>
          </w:tcPr>
          <w:p>
            <w:pPr>
              <w:jc w:val="center"/>
              <w:ind w:right="101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220" w:type="dxa"/>
            <w:vAlign w:val="bottom"/>
          </w:tcPr>
          <w:p>
            <w:pPr>
              <w:ind w:left="11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20" w:type="dxa"/>
            <w:vAlign w:val="bottom"/>
          </w:tcPr>
          <w:p>
            <w:pPr>
              <w:jc w:val="center"/>
              <w:ind w:left="1221"/>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339"/>
        </w:trPr>
        <w:tc>
          <w:tcPr>
            <w:tcW w:w="3500" w:type="dxa"/>
            <w:vAlign w:val="bottom"/>
          </w:tcPr>
          <w:p>
            <w:pPr>
              <w:jc w:val="center"/>
              <w:ind w:right="1019"/>
              <w:spacing w:after="0"/>
              <w:rPr>
                <w:sz w:val="20"/>
                <w:szCs w:val="20"/>
                <w:color w:val="auto"/>
              </w:rPr>
            </w:pPr>
            <w:r>
              <w:rPr>
                <w:rFonts w:ascii="Times New Roman" w:cs="Times New Roman" w:eastAsia="Times New Roman" w:hAnsi="Times New Roman"/>
                <w:sz w:val="18"/>
                <w:szCs w:val="18"/>
                <w:b w:val="1"/>
                <w:bCs w:val="1"/>
                <w:color w:val="auto"/>
                <w:w w:val="99"/>
              </w:rPr>
              <w:t>360 N. Pastoria Avenue</w:t>
            </w:r>
          </w:p>
        </w:tc>
        <w:tc>
          <w:tcPr>
            <w:tcW w:w="322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14"/>
        </w:trPr>
        <w:tc>
          <w:tcPr>
            <w:tcW w:w="3500" w:type="dxa"/>
            <w:vAlign w:val="bottom"/>
          </w:tcPr>
          <w:p>
            <w:pPr>
              <w:jc w:val="center"/>
              <w:ind w:right="1059"/>
              <w:spacing w:after="0"/>
              <w:rPr>
                <w:sz w:val="20"/>
                <w:szCs w:val="20"/>
                <w:color w:val="auto"/>
              </w:rPr>
            </w:pPr>
            <w:r>
              <w:rPr>
                <w:rFonts w:ascii="Times New Roman" w:cs="Times New Roman" w:eastAsia="Times New Roman" w:hAnsi="Times New Roman"/>
                <w:sz w:val="18"/>
                <w:szCs w:val="18"/>
                <w:b w:val="1"/>
                <w:bCs w:val="1"/>
                <w:color w:val="auto"/>
                <w:w w:val="99"/>
              </w:rPr>
              <w:t>Sunnyvale, California</w:t>
            </w:r>
          </w:p>
        </w:tc>
        <w:tc>
          <w:tcPr>
            <w:tcW w:w="3220" w:type="dxa"/>
            <w:vAlign w:val="bottom"/>
          </w:tcPr>
          <w:p>
            <w:pPr>
              <w:spacing w:after="0"/>
              <w:rPr>
                <w:sz w:val="18"/>
                <w:szCs w:val="18"/>
                <w:color w:val="auto"/>
              </w:rPr>
            </w:pPr>
          </w:p>
        </w:tc>
        <w:tc>
          <w:tcPr>
            <w:tcW w:w="2720" w:type="dxa"/>
            <w:vAlign w:val="bottom"/>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94085</w:t>
            </w:r>
          </w:p>
        </w:tc>
      </w:tr>
      <w:tr>
        <w:trPr>
          <w:trHeight w:val="190"/>
        </w:trPr>
        <w:tc>
          <w:tcPr>
            <w:tcW w:w="3500" w:type="dxa"/>
            <w:vAlign w:val="bottom"/>
          </w:tcPr>
          <w:p>
            <w:pPr>
              <w:jc w:val="center"/>
              <w:ind w:right="10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220" w:type="dxa"/>
            <w:vAlign w:val="bottom"/>
          </w:tcPr>
          <w:p>
            <w:pPr>
              <w:spacing w:after="0"/>
              <w:rPr>
                <w:sz w:val="16"/>
                <w:szCs w:val="16"/>
                <w:color w:val="auto"/>
              </w:rPr>
            </w:pPr>
          </w:p>
        </w:tc>
        <w:tc>
          <w:tcPr>
            <w:tcW w:w="2720" w:type="dxa"/>
            <w:vAlign w:val="bottom"/>
          </w:tcPr>
          <w:p>
            <w:pPr>
              <w:jc w:val="center"/>
              <w:ind w:left="122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(800) 436-0826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1020" w:hanging="553"/>
        <w:spacing w:after="0"/>
        <w:tabs>
          <w:tab w:leader="none" w:pos="10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1020" w:hanging="553"/>
        <w:spacing w:after="0"/>
        <w:tabs>
          <w:tab w:leader="none" w:pos="10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1020" w:hanging="553"/>
        <w:spacing w:after="0"/>
        <w:tabs>
          <w:tab w:leader="none" w:pos="10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1020" w:hanging="553"/>
        <w:spacing w:after="0"/>
        <w:tabs>
          <w:tab w:leader="none" w:pos="10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898525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440" w:right="1019" w:bottom="1440" w:gutter="0" w:footer="0" w:header="0"/>
        </w:sectPr>
      </w:pPr>
    </w:p>
    <w:bookmarkStart w:id="1" w:name="page2"/>
    <w:bookmarkEnd w:id="1"/>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5"/>
                <w:szCs w:val="15"/>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00" w:type="dxa"/>
            <w:vAlign w:val="bottom"/>
          </w:tcPr>
          <w:p>
            <w:pPr>
              <w:spacing w:after="0"/>
              <w:rPr>
                <w:sz w:val="15"/>
                <w:szCs w:val="15"/>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2"/>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$0.001 par value per share</w:t>
            </w:r>
          </w:p>
        </w:tc>
        <w:tc>
          <w:tcPr>
            <w:tcW w:w="12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CBLL</w:t>
            </w:r>
          </w:p>
        </w:tc>
        <w:tc>
          <w:tcPr>
            <w:tcW w:w="1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0"/>
          <w:szCs w:val="20"/>
          <w:color w:val="auto"/>
        </w:rPr>
      </w:pPr>
    </w:p>
    <w:p>
      <w:pPr>
        <w:ind w:left="800"/>
        <w:spacing w:after="0" w:line="207" w:lineRule="exact"/>
        <w:tabs>
          <w:tab w:leader="none" w:pos="1048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58" w:lineRule="exact"/>
        <w:rPr>
          <w:sz w:val="20"/>
          <w:szCs w:val="20"/>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November 4, 2025, Ceribell, Inc. issued a press release announcing its financial results for the fiscal quarter ended September 30, 2025. A copy of the press release, dated November 4, 2025, is furnished hereto as Exhibit 99.1 and is incorporated herein by reference.</w:t>
      </w:r>
    </w:p>
    <w:p>
      <w:pPr>
        <w:spacing w:after="0" w:line="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foregoing information in this Item 2.02 (including Exhibit 99.1)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0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64"/>
        </w:trPr>
        <w:tc>
          <w:tcPr>
            <w:tcW w:w="12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Exhibit No.</w:t>
            </w:r>
          </w:p>
        </w:tc>
        <w:tc>
          <w:tcPr>
            <w:tcW w:w="220" w:type="dxa"/>
            <w:vAlign w:val="bottom"/>
          </w:tcPr>
          <w:p>
            <w:pPr>
              <w:spacing w:after="0"/>
              <w:rPr>
                <w:sz w:val="24"/>
                <w:szCs w:val="24"/>
                <w:color w:val="auto"/>
              </w:rPr>
            </w:pPr>
          </w:p>
        </w:tc>
        <w:tc>
          <w:tcPr>
            <w:tcW w:w="9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169"/>
        </w:trPr>
        <w:tc>
          <w:tcPr>
            <w:tcW w:w="124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220" w:type="dxa"/>
            <w:vAlign w:val="bottom"/>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120" w:type="dxa"/>
            <w:vAlign w:val="bottom"/>
            <w:tcBorders>
              <w:top w:val="single" w:sz="8" w:color="auto"/>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FF"/>
                <w:w w:val="99"/>
              </w:rPr>
              <w:t>Press Release of CeriBell, Inc., dated November 4, 2025.</w:t>
            </w:r>
          </w:p>
        </w:tc>
        <w:tc>
          <w:tcPr>
            <w:tcW w:w="5640" w:type="dxa"/>
            <w:vAlign w:val="bottom"/>
            <w:tcBorders>
              <w:top w:val="single" w:sz="8" w:color="auto"/>
            </w:tcBorders>
          </w:tcPr>
          <w:p>
            <w:pPr>
              <w:spacing w:after="0"/>
              <w:rPr>
                <w:sz w:val="14"/>
                <w:szCs w:val="14"/>
                <w:color w:val="auto"/>
              </w:rPr>
            </w:pPr>
          </w:p>
        </w:tc>
      </w:tr>
      <w:tr>
        <w:trPr>
          <w:trHeight w:val="23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0"/>
                <w:szCs w:val="20"/>
                <w:color w:val="auto"/>
              </w:rPr>
            </w:pPr>
          </w:p>
        </w:tc>
        <w:tc>
          <w:tcPr>
            <w:tcW w:w="9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w:t>
            </w:r>
          </w:p>
        </w:tc>
      </w:tr>
      <w:tr>
        <w:trPr>
          <w:trHeight w:val="1843"/>
        </w:trPr>
        <w:tc>
          <w:tcPr>
            <w:tcW w:w="1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1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CERIBELL, INC.</w:t>
      </w:r>
    </w:p>
    <w:p>
      <w:pPr>
        <w:spacing w:after="0" w:line="256"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November 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Blumberg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4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Scott Blumberg</w:t>
      </w:r>
    </w:p>
    <w:p>
      <w:pPr>
        <w:spacing w:after="0" w:line="3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4" w:name="page5"/>
    <w:bookmarkEnd w:id="4"/>
    <w:p>
      <w:pPr>
        <w:spacing w:after="0" w:line="3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2660015</wp:posOffset>
            </wp:positionH>
            <wp:positionV relativeFrom="page">
              <wp:posOffset>551815</wp:posOffset>
            </wp:positionV>
            <wp:extent cx="2228850" cy="4457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228850" cy="44577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25"/>
          <w:szCs w:val="25"/>
          <w:b w:val="1"/>
          <w:bCs w:val="1"/>
          <w:color w:val="auto"/>
        </w:rPr>
        <w:t>Ceribell Reports Third Quarter 2025 Financial Results</w:t>
      </w:r>
    </w:p>
    <w:p>
      <w:pPr>
        <w:spacing w:after="0" w:line="226" w:lineRule="exact"/>
        <w:rPr>
          <w:sz w:val="20"/>
          <w:szCs w:val="20"/>
          <w:color w:val="auto"/>
        </w:rPr>
      </w:pPr>
    </w:p>
    <w:p>
      <w:pPr>
        <w:ind w:right="80"/>
        <w:spacing w:after="0" w:line="242" w:lineRule="auto"/>
        <w:rPr>
          <w:sz w:val="20"/>
          <w:szCs w:val="20"/>
          <w:color w:val="auto"/>
        </w:rPr>
      </w:pPr>
      <w:r>
        <w:rPr>
          <w:rFonts w:ascii="Arial" w:cs="Arial" w:eastAsia="Arial" w:hAnsi="Arial"/>
          <w:sz w:val="20"/>
          <w:szCs w:val="20"/>
          <w:b w:val="1"/>
          <w:bCs w:val="1"/>
          <w:color w:val="auto"/>
        </w:rPr>
        <w:t xml:space="preserve">SUNNYVALE, Calif., November 4, 2025 </w:t>
      </w:r>
      <w:r>
        <w:rPr>
          <w:rFonts w:ascii="Arial" w:cs="Arial" w:eastAsia="Arial" w:hAnsi="Arial"/>
          <w:sz w:val="20"/>
          <w:szCs w:val="20"/>
          <w:color w:val="auto"/>
        </w:rPr>
        <w:t>– CeriBell, Inc. (Nasdaq: CBLL) (“Ceribell”), a medical technology company focused</w:t>
      </w:r>
      <w:r>
        <w:rPr>
          <w:rFonts w:ascii="Arial" w:cs="Arial" w:eastAsia="Arial" w:hAnsi="Arial"/>
          <w:sz w:val="20"/>
          <w:szCs w:val="20"/>
          <w:b w:val="1"/>
          <w:bCs w:val="1"/>
          <w:color w:val="auto"/>
        </w:rPr>
        <w:t xml:space="preserve"> </w:t>
      </w:r>
      <w:r>
        <w:rPr>
          <w:rFonts w:ascii="Arial" w:cs="Arial" w:eastAsia="Arial" w:hAnsi="Arial"/>
          <w:sz w:val="20"/>
          <w:szCs w:val="20"/>
          <w:color w:val="auto"/>
        </w:rPr>
        <w:t>on transforming the diagnosis and management of patients with serious neurological conditions, today reported financial results for the quarter ended September 30, 2025.</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2025 &amp; Recent Highlights</w:t>
      </w:r>
    </w:p>
    <w:p>
      <w:pPr>
        <w:spacing w:after="0" w:line="96" w:lineRule="exact"/>
        <w:rPr>
          <w:sz w:val="20"/>
          <w:szCs w:val="20"/>
          <w:color w:val="auto"/>
        </w:rPr>
      </w:pPr>
    </w:p>
    <w:p>
      <w:pPr>
        <w:ind w:left="1020" w:right="100" w:hanging="503"/>
        <w:spacing w:after="0" w:line="256" w:lineRule="auto"/>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Reported total revenue of $22.6 million in the third quarter of 2025, a 31% increase compared to the same period in 2024</w:t>
      </w:r>
    </w:p>
    <w:p>
      <w:pPr>
        <w:spacing w:after="0" w:line="48"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Achieved gross margin of 88% compared to 87% for the same period in 2024</w:t>
      </w:r>
    </w:p>
    <w:p>
      <w:pPr>
        <w:spacing w:after="0" w:line="10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Ended the quarter with 615 total active accounts</w:t>
      </w:r>
    </w:p>
    <w:p>
      <w:pPr>
        <w:spacing w:after="0" w:line="10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Appointed Erica Rogers to the Board of Directors</w:t>
      </w:r>
    </w:p>
    <w:p>
      <w:pPr>
        <w:spacing w:after="0" w:line="215" w:lineRule="exact"/>
        <w:rPr>
          <w:sz w:val="20"/>
          <w:szCs w:val="20"/>
          <w:color w:val="auto"/>
        </w:rPr>
      </w:pPr>
    </w:p>
    <w:p>
      <w:pPr>
        <w:ind w:right="80"/>
        <w:spacing w:after="0" w:line="241" w:lineRule="auto"/>
        <w:rPr>
          <w:sz w:val="20"/>
          <w:szCs w:val="20"/>
          <w:color w:val="auto"/>
        </w:rPr>
      </w:pPr>
      <w:r>
        <w:rPr>
          <w:rFonts w:ascii="Arial" w:cs="Arial" w:eastAsia="Arial" w:hAnsi="Arial"/>
          <w:sz w:val="20"/>
          <w:szCs w:val="20"/>
          <w:color w:val="auto"/>
        </w:rPr>
        <w:t>“We are encouraged by our third quarter performance, which reflects strong commercial execution and continued momentum in adoption of the Ceribell System,” said co-founder and CEO Jane Chao, Ph.D. “</w:t>
      </w:r>
      <w:r>
        <w:rPr>
          <w:rFonts w:ascii="Calibri" w:cs="Calibri" w:eastAsia="Calibri" w:hAnsi="Calibri"/>
          <w:sz w:val="20"/>
          <w:szCs w:val="20"/>
          <w:color w:val="auto"/>
        </w:rPr>
        <w:t>Looking ahead, our focus remains on generatng</w:t>
      </w:r>
    </w:p>
    <w:p>
      <w:pPr>
        <w:spacing w:after="0" w:line="1" w:lineRule="exact"/>
        <w:rPr>
          <w:sz w:val="20"/>
          <w:szCs w:val="20"/>
          <w:color w:val="auto"/>
        </w:rPr>
      </w:pPr>
    </w:p>
    <w:p>
      <w:pPr>
        <w:spacing w:after="0"/>
        <w:rPr>
          <w:sz w:val="20"/>
          <w:szCs w:val="20"/>
          <w:color w:val="auto"/>
        </w:rPr>
      </w:pPr>
      <w:r>
        <w:rPr>
          <w:rFonts w:ascii="Calibri" w:cs="Calibri" w:eastAsia="Calibri" w:hAnsi="Calibri"/>
          <w:sz w:val="20"/>
          <w:szCs w:val="20"/>
          <w:color w:val="auto"/>
        </w:rPr>
        <w:t>robust clinical evidence to help establish point-of-care EEG as a new standard of care for seizure management in the acute care setng</w:t>
      </w:r>
      <w:r>
        <w:rPr>
          <w:rFonts w:ascii="Arial" w:cs="Arial" w:eastAsia="Arial" w:hAnsi="Arial"/>
          <w:sz w:val="20"/>
          <w:szCs w:val="20"/>
          <w:color w:val="auto"/>
        </w:rPr>
        <w:t>.</w:t>
      </w:r>
    </w:p>
    <w:p>
      <w:pPr>
        <w:spacing w:after="0" w:line="12" w:lineRule="exact"/>
        <w:rPr>
          <w:sz w:val="20"/>
          <w:szCs w:val="20"/>
          <w:color w:val="auto"/>
        </w:rPr>
      </w:pPr>
    </w:p>
    <w:p>
      <w:pPr>
        <w:ind w:right="200"/>
        <w:spacing w:after="0" w:line="239" w:lineRule="auto"/>
        <w:rPr>
          <w:sz w:val="20"/>
          <w:szCs w:val="20"/>
          <w:color w:val="auto"/>
        </w:rPr>
      </w:pPr>
      <w:r>
        <w:rPr>
          <w:rFonts w:ascii="Arial" w:cs="Arial" w:eastAsia="Arial" w:hAnsi="Arial"/>
          <w:sz w:val="20"/>
          <w:szCs w:val="20"/>
          <w:color w:val="auto"/>
        </w:rPr>
        <w:t>Our progress this quarter underscores the foundational work we’ve done to unlock what we believe to be a $2 billion addressable market opportunity and reinforces our leadership position built on differentiated technology, extensive clinical and economic data, and continued innovation.”</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2025 Financial Results</w:t>
      </w:r>
    </w:p>
    <w:p>
      <w:pPr>
        <w:spacing w:after="0" w:line="6" w:lineRule="exact"/>
        <w:rPr>
          <w:sz w:val="20"/>
          <w:szCs w:val="20"/>
          <w:color w:val="auto"/>
        </w:rPr>
      </w:pPr>
    </w:p>
    <w:p>
      <w:pPr>
        <w:ind w:right="140"/>
        <w:spacing w:after="0" w:line="231" w:lineRule="auto"/>
        <w:rPr>
          <w:sz w:val="20"/>
          <w:szCs w:val="20"/>
          <w:color w:val="auto"/>
        </w:rPr>
      </w:pPr>
      <w:r>
        <w:rPr>
          <w:rFonts w:ascii="Arial" w:cs="Arial" w:eastAsia="Arial" w:hAnsi="Arial"/>
          <w:sz w:val="20"/>
          <w:szCs w:val="20"/>
          <w:color w:val="auto"/>
        </w:rPr>
        <w:t>Total revenue in the third quarter of 2025 was $22.6 million, a 31% increase from $17.2 million in the third quarter of 2024. The increase was primarily driven by continued commercial traction, resulting from expansion into new accounts and continued adoption within the company’s active account base. Product revenue for the third quarter of 2025 was $17.0 million, representing an increase of 28% from $13.3 million in the third quarter of 2024. Subscription revenue for the third quarter of 2025 was $5.6 million, representing an increase of 44% from $3.9 million in the third quarter of 2024.</w:t>
      </w:r>
    </w:p>
    <w:p>
      <w:pPr>
        <w:spacing w:after="0" w:line="171" w:lineRule="exact"/>
        <w:rPr>
          <w:sz w:val="20"/>
          <w:szCs w:val="20"/>
          <w:color w:val="auto"/>
        </w:rPr>
      </w:pPr>
    </w:p>
    <w:p>
      <w:pPr>
        <w:ind w:right="120"/>
        <w:spacing w:after="0" w:line="257" w:lineRule="auto"/>
        <w:rPr>
          <w:sz w:val="20"/>
          <w:szCs w:val="20"/>
          <w:color w:val="auto"/>
        </w:rPr>
      </w:pPr>
      <w:r>
        <w:rPr>
          <w:rFonts w:ascii="Arial" w:cs="Arial" w:eastAsia="Arial" w:hAnsi="Arial"/>
          <w:sz w:val="20"/>
          <w:szCs w:val="20"/>
          <w:color w:val="auto"/>
        </w:rPr>
        <w:t>Gross profit in the third quarter of 2025 was $19.9 million, compared to $15.0 million for the third quarter of 2024. Gross margin for the third quarter of 2025 was 88%, compared to 87% for the same period in 2024.</w:t>
      </w:r>
    </w:p>
    <w:p>
      <w:pPr>
        <w:spacing w:after="0" w:line="155" w:lineRule="exact"/>
        <w:rPr>
          <w:sz w:val="20"/>
          <w:szCs w:val="20"/>
          <w:color w:val="auto"/>
        </w:rPr>
      </w:pPr>
    </w:p>
    <w:p>
      <w:pPr>
        <w:spacing w:after="0" w:line="237" w:lineRule="auto"/>
        <w:rPr>
          <w:sz w:val="20"/>
          <w:szCs w:val="20"/>
          <w:color w:val="auto"/>
        </w:rPr>
      </w:pPr>
      <w:r>
        <w:rPr>
          <w:rFonts w:ascii="Arial" w:cs="Arial" w:eastAsia="Arial" w:hAnsi="Arial"/>
          <w:sz w:val="20"/>
          <w:szCs w:val="20"/>
          <w:color w:val="auto"/>
        </w:rPr>
        <w:t>Operating expenses in the third quarter of 2025 were $34.6 million, compared to $24.9 million for the third quarter of 2024, representing an increase of 39%. The increase in operating expenses was primarily attributable to investments in the company’s commercial organization, increased headcount to support the growth of the business, legal expenses, and expenses related to operating as a public company.</w:t>
      </w:r>
    </w:p>
    <w:p>
      <w:pPr>
        <w:spacing w:after="0" w:line="172" w:lineRule="exact"/>
        <w:rPr>
          <w:sz w:val="20"/>
          <w:szCs w:val="20"/>
          <w:color w:val="auto"/>
        </w:rPr>
      </w:pPr>
    </w:p>
    <w:p>
      <w:pPr>
        <w:ind w:right="300"/>
        <w:spacing w:after="0" w:line="257" w:lineRule="auto"/>
        <w:rPr>
          <w:sz w:val="20"/>
          <w:szCs w:val="20"/>
          <w:color w:val="auto"/>
        </w:rPr>
      </w:pPr>
      <w:r>
        <w:rPr>
          <w:rFonts w:ascii="Arial" w:cs="Arial" w:eastAsia="Arial" w:hAnsi="Arial"/>
          <w:sz w:val="20"/>
          <w:szCs w:val="20"/>
          <w:color w:val="auto"/>
        </w:rPr>
        <w:t>Net loss in the third quarter of 2025 was $13.5 million, or $0.37 net loss per share, compared to a net loss of $10.4 million, or $1.85 net loss per share, for the same period in 2024.</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Cash, cash equivalents, and marketable securities totaled $168.5 million as of September 30, 2025.</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2025 Financial Outlook</w:t>
      </w:r>
    </w:p>
    <w:p>
      <w:pPr>
        <w:spacing w:after="0" w:line="6" w:lineRule="exact"/>
        <w:rPr>
          <w:sz w:val="20"/>
          <w:szCs w:val="20"/>
          <w:color w:val="auto"/>
        </w:rPr>
      </w:pPr>
    </w:p>
    <w:p>
      <w:pPr>
        <w:ind w:right="500"/>
        <w:spacing w:after="0" w:line="239" w:lineRule="auto"/>
        <w:rPr>
          <w:sz w:val="20"/>
          <w:szCs w:val="20"/>
          <w:color w:val="auto"/>
        </w:rPr>
      </w:pPr>
      <w:r>
        <w:rPr>
          <w:rFonts w:ascii="Arial" w:cs="Arial" w:eastAsia="Arial" w:hAnsi="Arial"/>
          <w:sz w:val="20"/>
          <w:szCs w:val="20"/>
          <w:color w:val="auto"/>
        </w:rPr>
        <w:t>Ceribell is raising its revenue guidance for the full year 2025 to a range of $87 million to $89 million, representing growth of approximately 33% to 36% over the company’s prior year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727710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Webcast and Conference Call Details</w:t>
      </w:r>
    </w:p>
    <w:p>
      <w:pPr>
        <w:spacing w:after="0" w:line="6" w:lineRule="exact"/>
        <w:rPr>
          <w:sz w:val="20"/>
          <w:szCs w:val="20"/>
          <w:color w:val="auto"/>
        </w:rPr>
      </w:pPr>
    </w:p>
    <w:p>
      <w:pPr>
        <w:ind w:right="80"/>
        <w:spacing w:after="0" w:line="232" w:lineRule="auto"/>
        <w:rPr>
          <w:sz w:val="20"/>
          <w:szCs w:val="20"/>
          <w:color w:val="auto"/>
        </w:rPr>
      </w:pPr>
      <w:r>
        <w:rPr>
          <w:rFonts w:ascii="Arial" w:cs="Arial" w:eastAsia="Arial" w:hAnsi="Arial"/>
          <w:sz w:val="20"/>
          <w:szCs w:val="20"/>
          <w:color w:val="auto"/>
        </w:rPr>
        <w:t xml:space="preserve">Ceribell will host a conference call today, November 4, 2025, at 1:30 p.m. PT / 4:30 p.m. ET to discuss its third quarter 2025 financial results. Investors interested in listening to the conference call may do so by dialing (800) 715-9871 for domestic callers or (646) 307-1963 for international callers and providing access code 9394689. A live and archived webcast of the event will be available on the “Investor Relations” section of the Ceribell website at </w:t>
      </w:r>
      <w:r>
        <w:rPr>
          <w:rFonts w:ascii="Arial" w:cs="Arial" w:eastAsia="Arial" w:hAnsi="Arial"/>
          <w:sz w:val="20"/>
          <w:szCs w:val="20"/>
          <w:color w:val="0563C1"/>
        </w:rPr>
        <w:t>https://investors.ceribell.com/</w:t>
      </w:r>
      <w:r>
        <w:rPr>
          <w:rFonts w:ascii="Arial" w:cs="Arial" w:eastAsia="Arial" w:hAnsi="Arial"/>
          <w:sz w:val="20"/>
          <w:szCs w:val="20"/>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6" w:lineRule="exact"/>
        <w:rPr>
          <w:sz w:val="20"/>
          <w:szCs w:val="20"/>
          <w:color w:val="auto"/>
        </w:rPr>
      </w:pPr>
    </w:p>
    <w:p>
      <w:pPr>
        <w:spacing w:after="0" w:line="238" w:lineRule="auto"/>
        <w:rPr>
          <w:sz w:val="20"/>
          <w:szCs w:val="20"/>
          <w:color w:val="auto"/>
        </w:rPr>
      </w:pPr>
      <w:r>
        <w:rPr>
          <w:rFonts w:ascii="Arial" w:cs="Arial" w:eastAsia="Arial" w:hAnsi="Arial"/>
          <w:sz w:val="19"/>
          <w:szCs w:val="19"/>
          <w:color w:val="auto"/>
        </w:rPr>
        <w:t xml:space="preserve">Except where otherwise noted, the information contained in this earnings release and the related attachments is as of November 4, 2025. We assume no obligation to update any forward-looking statements contained in this earnings release and the related attachments as a result of new information or future events or developments. This earnings release and the related attachments contain forward-looking statements within the meaning of the Private Securities Litigation Reform Act of 1995, including statements about, among other topics, the anticipated rate and impact of tariffs on our estimated gross margins; our finished goods headband product inventory and the duration of supply of finished goods; revenue associated with subscription products; our anticipated operating and financial performance, including financial guidance and projections; business plans, strategy, goals and prospects; expectations for our products; and other statements that are not statements of historical fact. Given their forward-looking nature, these statements involve substantial risks, uncertainties and potentially inaccurate assumptions, and we cannot ensure that any potential outcome expressed in these forward-looking statements will be realized in whole or in part. You can identify these statements by the fact that they refer to future dates or use words such as “will,” “may,” “could,” “likely,” “ongoing,” “anticipate,” “estimate,” “expect,” “project,” “intend,” “plan,” “believe,” “assume,” “target,” “forecast,” “guidance,” “goal,” “objective,” “aim,” “seek,” “potential,” “hope” and other words of similar meaning. Ceribell’s financial guidance is based on estimates and assumptions that are subject to significant uncertainties. Among the factors that could cause actual results to differ materially from past results and future plans and projected future results are the following: risks related to our limited operating history and history of net losses; our ability to successfully achieve substantial market acceptance and adoption of our products; competitive pressures; our ability to adapt our manufacturing and production capacities to evolving patterns of demand, governmental actions and customer trends; the manufacturing of a substantial number of our product components and their assembly in China and Vietnam; product defects or complaints and related liability; the complexity, timing, expense, and outcomes of clinical studies; our ability to obtain and maintain adequate coverage and reimbursement levels for our products; our ability to comply with changing laws and regulatory requirements and resulting costs; our dependence on a limited number of suppliers; and other risks and uncertainties, including those described under the heading “Risk Factors” in our Registration Statement on Form S-1, Annual Report on Form 10-K, Quarterly Reports on Form 10-Q, and other reports filed with the U.S. Securities and Exchange Commission (“SEC”). These filings, when made, are available on the Investor Relations section of our website at </w:t>
      </w:r>
      <w:r>
        <w:rPr>
          <w:rFonts w:ascii="Arial" w:cs="Arial" w:eastAsia="Arial" w:hAnsi="Arial"/>
          <w:sz w:val="19"/>
          <w:szCs w:val="19"/>
          <w:color w:val="0563C1"/>
        </w:rPr>
        <w:t>https://investors.ceribell.com/</w:t>
      </w:r>
      <w:r>
        <w:rPr>
          <w:rFonts w:ascii="Arial" w:cs="Arial" w:eastAsia="Arial" w:hAnsi="Arial"/>
          <w:sz w:val="19"/>
          <w:szCs w:val="19"/>
          <w:color w:val="auto"/>
        </w:rPr>
        <w:t xml:space="preserve"> and on the SEC’s website at </w:t>
      </w:r>
      <w:r>
        <w:rPr>
          <w:rFonts w:ascii="Arial" w:cs="Arial" w:eastAsia="Arial" w:hAnsi="Arial"/>
          <w:sz w:val="19"/>
          <w:szCs w:val="19"/>
          <w:color w:val="0563C1"/>
        </w:rPr>
        <w:t>https://sec.gov/</w:t>
      </w:r>
      <w:r>
        <w:rPr>
          <w:rFonts w:ascii="Arial" w:cs="Arial" w:eastAsia="Arial" w:hAnsi="Arial"/>
          <w:sz w:val="19"/>
          <w:szCs w:val="19"/>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CeriBell, Inc.</w:t>
      </w:r>
    </w:p>
    <w:p>
      <w:pPr>
        <w:spacing w:after="0" w:line="6" w:lineRule="exact"/>
        <w:rPr>
          <w:sz w:val="20"/>
          <w:szCs w:val="20"/>
          <w:color w:val="auto"/>
        </w:rPr>
      </w:pPr>
    </w:p>
    <w:p>
      <w:pPr>
        <w:spacing w:after="0" w:line="228" w:lineRule="auto"/>
        <w:rPr>
          <w:sz w:val="20"/>
          <w:szCs w:val="20"/>
          <w:color w:val="auto"/>
        </w:rPr>
      </w:pPr>
      <w:r>
        <w:rPr>
          <w:rFonts w:ascii="Arial" w:cs="Arial" w:eastAsia="Arial" w:hAnsi="Arial"/>
          <w:sz w:val="20"/>
          <w:szCs w:val="20"/>
          <w:color w:val="auto"/>
        </w:rPr>
        <w:t xml:space="preserve">Ceribell is a medical technology company focused on transforming the diagnosis and management of patients with serious neurological conditions. Ceribell has developed the Ceribell System, a novel, point-of-care electroencephalography (“EEG”) platform specifically designed to address the unmet needs of patients in the acute care setting. By combining proprietary, highly portable, and rapidly deployable hardware with sophisticated artificial intelligence (“AI”)-powered algorithms, the Ceribell System enables rapid diagnosis and continuous monitoring of patients with neurological conditions. The Ceribell System is FDA-cleared for detecting suspected seizure activity and currently utilized in intensive care units and emergency rooms across the U.S. Ceribell is headquartered in Sunnyvale, California. For more information, please visit </w:t>
      </w:r>
      <w:r>
        <w:rPr>
          <w:rFonts w:ascii="Arial" w:cs="Arial" w:eastAsia="Arial" w:hAnsi="Arial"/>
          <w:sz w:val="20"/>
          <w:szCs w:val="20"/>
          <w:color w:val="0563C1"/>
        </w:rPr>
        <w:t>www.ceribell.com</w:t>
      </w:r>
      <w:r>
        <w:rPr>
          <w:rFonts w:ascii="Arial" w:cs="Arial" w:eastAsia="Arial" w:hAnsi="Arial"/>
          <w:sz w:val="20"/>
          <w:szCs w:val="20"/>
          <w:color w:val="auto"/>
        </w:rPr>
        <w:t xml:space="preserve"> or follow the company on </w:t>
      </w:r>
      <w:r>
        <w:rPr>
          <w:rFonts w:ascii="Arial" w:cs="Arial" w:eastAsia="Arial" w:hAnsi="Arial"/>
          <w:sz w:val="20"/>
          <w:szCs w:val="20"/>
          <w:color w:val="0563C1"/>
        </w:rPr>
        <w:t>LinkedIn</w:t>
      </w:r>
      <w:r>
        <w:rPr>
          <w:rFonts w:ascii="Arial" w:cs="Arial" w:eastAsia="Arial" w:hAnsi="Arial"/>
          <w:sz w:val="20"/>
          <w:szCs w:val="20"/>
          <w:color w:val="000000"/>
        </w:rPr>
        <w:t>.</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Contacts</w:t>
      </w:r>
    </w:p>
    <w:p>
      <w:pPr>
        <w:spacing w:after="0" w:line="231" w:lineRule="auto"/>
        <w:rPr>
          <w:sz w:val="20"/>
          <w:szCs w:val="20"/>
          <w:color w:val="auto"/>
        </w:rPr>
      </w:pPr>
      <w:r>
        <w:rPr>
          <w:rFonts w:ascii="Arial" w:cs="Arial" w:eastAsia="Arial" w:hAnsi="Arial"/>
          <w:sz w:val="20"/>
          <w:szCs w:val="20"/>
          <w:color w:val="auto"/>
        </w:rPr>
        <w:t>Brian Johnston or Laine Morgan</w:t>
      </w:r>
    </w:p>
    <w:p>
      <w:pPr>
        <w:spacing w:after="0" w:line="226" w:lineRule="auto"/>
        <w:rPr>
          <w:sz w:val="20"/>
          <w:szCs w:val="20"/>
          <w:color w:val="auto"/>
        </w:rPr>
      </w:pPr>
      <w:r>
        <w:rPr>
          <w:rFonts w:ascii="Arial" w:cs="Arial" w:eastAsia="Arial" w:hAnsi="Arial"/>
          <w:sz w:val="20"/>
          <w:szCs w:val="20"/>
          <w:color w:val="auto"/>
        </w:rPr>
        <w:t>Gilmartin Group</w:t>
      </w:r>
    </w:p>
    <w:p>
      <w:pPr>
        <w:spacing w:after="0"/>
        <w:rPr>
          <w:sz w:val="20"/>
          <w:szCs w:val="20"/>
          <w:color w:val="auto"/>
        </w:rPr>
      </w:pPr>
      <w:r>
        <w:rPr>
          <w:rFonts w:ascii="Arial" w:cs="Arial" w:eastAsia="Arial" w:hAnsi="Arial"/>
          <w:sz w:val="20"/>
          <w:szCs w:val="20"/>
          <w:color w:val="0563C1"/>
        </w:rPr>
        <w:t>Investors@ceribell.com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718185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Media Contact</w:t>
      </w:r>
    </w:p>
    <w:p>
      <w:pPr>
        <w:spacing w:after="0" w:line="231" w:lineRule="auto"/>
        <w:rPr>
          <w:sz w:val="20"/>
          <w:szCs w:val="20"/>
          <w:color w:val="auto"/>
        </w:rPr>
      </w:pPr>
      <w:r>
        <w:rPr>
          <w:rFonts w:ascii="Arial" w:cs="Arial" w:eastAsia="Arial" w:hAnsi="Arial"/>
          <w:sz w:val="20"/>
          <w:szCs w:val="20"/>
          <w:color w:val="auto"/>
        </w:rPr>
        <w:t>Brian Price</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0563C1"/>
        </w:rPr>
        <w:t>Press@ceribell.com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588010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45" w:right="1440"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20"/>
          <w:szCs w:val="20"/>
          <w:b w:val="1"/>
          <w:bCs w:val="1"/>
          <w:color w:val="auto"/>
        </w:rPr>
        <w:t>Ceribell, Inc.</w:t>
      </w:r>
    </w:p>
    <w:p>
      <w:pPr>
        <w:jc w:val="center"/>
        <w:spacing w:after="0" w:line="231" w:lineRule="auto"/>
        <w:rPr>
          <w:sz w:val="20"/>
          <w:szCs w:val="20"/>
          <w:color w:val="auto"/>
        </w:rPr>
      </w:pPr>
      <w:r>
        <w:rPr>
          <w:rFonts w:ascii="Arial" w:cs="Arial" w:eastAsia="Arial" w:hAnsi="Arial"/>
          <w:sz w:val="20"/>
          <w:szCs w:val="20"/>
          <w:b w:val="1"/>
          <w:bCs w:val="1"/>
          <w:color w:val="auto"/>
        </w:rPr>
        <w:t>Condensed Statements of Operations and Comprehensive Loss</w:t>
      </w:r>
    </w:p>
    <w:p>
      <w:pPr>
        <w:jc w:val="center"/>
        <w:spacing w:after="0" w:line="226" w:lineRule="auto"/>
        <w:rPr>
          <w:sz w:val="20"/>
          <w:szCs w:val="20"/>
          <w:color w:val="auto"/>
        </w:rPr>
      </w:pPr>
      <w:r>
        <w:rPr>
          <w:rFonts w:ascii="Arial" w:cs="Arial" w:eastAsia="Arial" w:hAnsi="Arial"/>
          <w:sz w:val="20"/>
          <w:szCs w:val="20"/>
          <w:b w:val="1"/>
          <w:bCs w:val="1"/>
          <w:color w:val="auto"/>
        </w:rPr>
        <w:t>(in thousands, except share and per share data)</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8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0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09"/>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revenue</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17,020</w:t>
            </w:r>
          </w:p>
        </w:tc>
        <w:tc>
          <w:tcPr>
            <w:tcW w:w="160" w:type="dxa"/>
            <w:vAlign w:val="bottom"/>
          </w:tcPr>
          <w:p>
            <w:pPr>
              <w:spacing w:after="0"/>
              <w:rPr>
                <w:sz w:val="18"/>
                <w:szCs w:val="18"/>
                <w:color w:val="auto"/>
              </w:rPr>
            </w:pP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13,321</w:t>
            </w:r>
          </w:p>
        </w:tc>
        <w:tc>
          <w:tcPr>
            <w:tcW w:w="1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35,932</w:t>
            </w:r>
          </w:p>
        </w:tc>
        <w:tc>
          <w:tcPr>
            <w:tcW w:w="120" w:type="dxa"/>
            <w:vAlign w:val="bottom"/>
          </w:tcPr>
          <w:p>
            <w:pPr>
              <w:spacing w:after="0"/>
              <w:rPr>
                <w:sz w:val="18"/>
                <w:szCs w:val="18"/>
                <w:color w:val="auto"/>
              </w:rPr>
            </w:pPr>
          </w:p>
        </w:tc>
      </w:tr>
      <w:tr>
        <w:trPr>
          <w:trHeight w:val="216"/>
        </w:trPr>
        <w:tc>
          <w:tcPr>
            <w:tcW w:w="53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Subscription revenue</w:t>
            </w:r>
          </w:p>
        </w:tc>
        <w:tc>
          <w:tcPr>
            <w:tcW w:w="5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5,569</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15,728</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5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22,589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64,279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46,910</w:t>
            </w:r>
          </w:p>
        </w:tc>
        <w:tc>
          <w:tcPr>
            <w:tcW w:w="120" w:type="dxa"/>
            <w:vAlign w:val="bottom"/>
          </w:tcPr>
          <w:p>
            <w:pPr>
              <w:spacing w:after="0"/>
              <w:rPr>
                <w:sz w:val="18"/>
                <w:szCs w:val="18"/>
                <w:color w:val="auto"/>
              </w:rPr>
            </w:pPr>
          </w:p>
        </w:tc>
      </w:tr>
      <w:tr>
        <w:trPr>
          <w:trHeight w:val="209"/>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cost of goods sold</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6,073</w:t>
            </w:r>
          </w:p>
        </w:tc>
        <w:tc>
          <w:tcPr>
            <w:tcW w:w="120" w:type="dxa"/>
            <w:vAlign w:val="bottom"/>
          </w:tcPr>
          <w:p>
            <w:pPr>
              <w:spacing w:after="0"/>
              <w:rPr>
                <w:sz w:val="18"/>
                <w:szCs w:val="18"/>
                <w:color w:val="auto"/>
              </w:rPr>
            </w:pPr>
          </w:p>
        </w:tc>
      </w:tr>
      <w:tr>
        <w:trPr>
          <w:trHeight w:val="216"/>
        </w:trPr>
        <w:tc>
          <w:tcPr>
            <w:tcW w:w="53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Subscription cost of revenue</w:t>
            </w:r>
          </w:p>
        </w:tc>
        <w:tc>
          <w:tcPr>
            <w:tcW w:w="5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5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6,398</w:t>
            </w:r>
          </w:p>
        </w:tc>
        <w:tc>
          <w:tcPr>
            <w:tcW w:w="120" w:type="dxa"/>
            <w:vAlign w:val="bottom"/>
          </w:tcPr>
          <w:p>
            <w:pPr>
              <w:spacing w:after="0"/>
              <w:rPr>
                <w:sz w:val="18"/>
                <w:szCs w:val="18"/>
                <w:color w:val="auto"/>
              </w:rPr>
            </w:pPr>
          </w:p>
        </w:tc>
      </w:tr>
      <w:tr>
        <w:trPr>
          <w:trHeight w:val="210"/>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5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19,942</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15,011</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56,631</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40,512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14,081</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9,649</w:t>
            </w:r>
          </w:p>
        </w:tc>
        <w:tc>
          <w:tcPr>
            <w:tcW w:w="120" w:type="dxa"/>
            <w:vAlign w:val="bottom"/>
            <w:shd w:val="clear" w:color="auto" w:fill="CFF0FC"/>
          </w:tcPr>
          <w:p>
            <w:pPr>
              <w:spacing w:after="0"/>
              <w:rPr>
                <w:sz w:val="18"/>
                <w:szCs w:val="18"/>
                <w:color w:val="auto"/>
              </w:rPr>
            </w:pPr>
          </w:p>
        </w:tc>
      </w:tr>
      <w:tr>
        <w:trPr>
          <w:trHeight w:val="216"/>
        </w:trPr>
        <w:tc>
          <w:tcPr>
            <w:tcW w:w="5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33,812</w:t>
            </w:r>
          </w:p>
        </w:tc>
        <w:tc>
          <w:tcPr>
            <w:tcW w:w="120" w:type="dxa"/>
            <w:vAlign w:val="bottom"/>
          </w:tcPr>
          <w:p>
            <w:pPr>
              <w:spacing w:after="0"/>
              <w:rPr>
                <w:sz w:val="18"/>
                <w:szCs w:val="18"/>
                <w:color w:val="auto"/>
              </w:rPr>
            </w:pPr>
          </w:p>
        </w:tc>
      </w:tr>
      <w:tr>
        <w:trPr>
          <w:trHeight w:val="216"/>
        </w:trPr>
        <w:tc>
          <w:tcPr>
            <w:tcW w:w="53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11,037</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9,029</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32,332</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23,876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5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34,589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24,948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100,437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67,337</w:t>
            </w:r>
          </w:p>
        </w:tc>
        <w:tc>
          <w:tcPr>
            <w:tcW w:w="120" w:type="dxa"/>
            <w:vAlign w:val="bottom"/>
          </w:tcPr>
          <w:p>
            <w:pPr>
              <w:spacing w:after="0"/>
              <w:rPr>
                <w:sz w:val="18"/>
                <w:szCs w:val="18"/>
                <w:color w:val="auto"/>
              </w:rPr>
            </w:pPr>
          </w:p>
        </w:tc>
      </w:tr>
      <w:tr>
        <w:trPr>
          <w:trHeight w:val="209"/>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(14,647)</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(9,937)</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(43,806)</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(26,825)</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(1,428)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(1,493)</w:t>
            </w: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(417)</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5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20" w:type="dxa"/>
            <w:vAlign w:val="bottom"/>
          </w:tcPr>
          <w:p>
            <w:pPr>
              <w:spacing w:after="0"/>
              <w:rPr>
                <w:sz w:val="18"/>
                <w:szCs w:val="18"/>
                <w:color w:val="auto"/>
              </w:rPr>
            </w:pPr>
          </w:p>
        </w:tc>
      </w:tr>
      <w:tr>
        <w:trPr>
          <w:trHeight w:val="209"/>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provision for income taxes</w:t>
            </w: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(13,465)</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(10,417)</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(39,885)</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(27,879)</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 expense</w:t>
            </w:r>
          </w:p>
        </w:tc>
        <w:tc>
          <w:tcPr>
            <w:tcW w:w="5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09"/>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(13,465)</w:t>
            </w:r>
          </w:p>
        </w:tc>
        <w:tc>
          <w:tcPr>
            <w:tcW w:w="3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(10,417)</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(39,885)</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(27,879)</w:t>
            </w:r>
          </w:p>
        </w:tc>
      </w:tr>
      <w:tr>
        <w:trPr>
          <w:trHeight w:val="210"/>
        </w:trPr>
        <w:tc>
          <w:tcPr>
            <w:tcW w:w="53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Net loss per share attributable to common stockholders:</w:t>
            </w:r>
          </w:p>
        </w:tc>
        <w:tc>
          <w:tcPr>
            <w:tcW w:w="52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40" w:type="dxa"/>
            <w:vAlign w:val="bottom"/>
            <w:tcBorders>
              <w:top w:val="single" w:sz="8" w:color="CFF0FC"/>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r>
      <w:tr>
        <w:trPr>
          <w:trHeight w:val="250"/>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5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(0.37)</w:t>
            </w: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(1.85)</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(5.02)</w:t>
            </w:r>
          </w:p>
        </w:tc>
      </w:tr>
      <w:tr>
        <w:trPr>
          <w:trHeight w:val="174"/>
        </w:trPr>
        <w:tc>
          <w:tcPr>
            <w:tcW w:w="5300" w:type="dxa"/>
            <w:vAlign w:val="bottom"/>
            <w:tcBorders>
              <w:top w:val="single" w:sz="8" w:color="CFF0FC"/>
            </w:tcBorders>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Weighted-average shares used in computing net loss per share</w:t>
            </w:r>
          </w:p>
        </w:tc>
        <w:tc>
          <w:tcPr>
            <w:tcW w:w="5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r>
      <w:tr>
        <w:trPr>
          <w:trHeight w:val="225"/>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attributable to common stockholders:</w:t>
            </w: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50"/>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5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36,806,918</w:t>
            </w:r>
          </w:p>
        </w:tc>
        <w:tc>
          <w:tcPr>
            <w:tcW w:w="1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5,634,583</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36,326,792</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5,549,570</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197"/>
        </w:trPr>
        <w:tc>
          <w:tcPr>
            <w:tcW w:w="530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5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(13,331)</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(10,417)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(39,746)</w:t>
            </w:r>
          </w:p>
        </w:tc>
        <w:tc>
          <w:tcPr>
            <w:tcW w:w="14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(27,879)</w:t>
            </w:r>
          </w:p>
        </w:tc>
      </w:tr>
      <w:tr>
        <w:trPr>
          <w:trHeight w:val="20"/>
        </w:trPr>
        <w:tc>
          <w:tcPr>
            <w:tcW w:w="5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148"/>
        </w:trPr>
        <w:tc>
          <w:tcPr>
            <w:tcW w:w="53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-4499610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-4499610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-4499610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-4499610</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-3933825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-3933825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-3933825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-3933825</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-3642360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-3642360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-3642360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-3642360</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-3085465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-3085465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-3085465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-3085465</wp:posOffset>
            </wp:positionV>
            <wp:extent cx="774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-1953895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-1953895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-1953895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-1953895</wp:posOffset>
            </wp:positionV>
            <wp:extent cx="774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-1662430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-1645285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-1662430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-1645285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-1662430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-1645285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-1662430</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-1645285</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-1224915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-1207770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-1224915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-1207770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-1224915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-1207770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-1224915</wp:posOffset>
            </wp:positionV>
            <wp:extent cx="774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-1207770</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-925195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-925195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-925195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-925195</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061"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20"/>
          <w:szCs w:val="20"/>
          <w:b w:val="1"/>
          <w:bCs w:val="1"/>
          <w:color w:val="auto"/>
        </w:rPr>
        <w:t>Ceribell, Inc.</w:t>
      </w:r>
    </w:p>
    <w:p>
      <w:pPr>
        <w:jc w:val="center"/>
        <w:ind w:right="-19"/>
        <w:spacing w:after="0" w:line="231" w:lineRule="auto"/>
        <w:rPr>
          <w:sz w:val="20"/>
          <w:szCs w:val="20"/>
          <w:color w:val="auto"/>
        </w:rPr>
      </w:pPr>
      <w:r>
        <w:rPr>
          <w:rFonts w:ascii="Arial" w:cs="Arial" w:eastAsia="Arial" w:hAnsi="Arial"/>
          <w:sz w:val="20"/>
          <w:szCs w:val="20"/>
          <w:b w:val="1"/>
          <w:bCs w:val="1"/>
          <w:color w:val="auto"/>
        </w:rPr>
        <w:t>Condensed Balance Sheets</w:t>
      </w:r>
    </w:p>
    <w:p>
      <w:pPr>
        <w:jc w:val="center"/>
        <w:ind w:right="-19"/>
        <w:spacing w:after="0" w:line="238" w:lineRule="auto"/>
        <w:rPr>
          <w:sz w:val="20"/>
          <w:szCs w:val="20"/>
          <w:color w:val="auto"/>
        </w:rPr>
      </w:pPr>
      <w:r>
        <w:rPr>
          <w:rFonts w:ascii="Arial" w:cs="Arial" w:eastAsia="Arial" w:hAnsi="Arial"/>
          <w:sz w:val="19"/>
          <w:szCs w:val="19"/>
          <w:b w:val="1"/>
          <w:bCs w:val="1"/>
          <w:color w:val="auto"/>
        </w:rPr>
        <w:t>(in thousands, except share and per share data)</w:t>
      </w:r>
    </w:p>
    <w:p>
      <w:pPr>
        <w:jc w:val="center"/>
        <w:ind w:right="-19"/>
        <w:spacing w:after="0"/>
        <w:rPr>
          <w:sz w:val="20"/>
          <w:szCs w:val="20"/>
          <w:color w:val="auto"/>
        </w:rPr>
      </w:pPr>
      <w:r>
        <w:rPr>
          <w:rFonts w:ascii="Arial" w:cs="Arial" w:eastAsia="Arial" w:hAnsi="Arial"/>
          <w:sz w:val="20"/>
          <w:szCs w:val="20"/>
          <w:b w:val="1"/>
          <w:bCs w:val="1"/>
          <w:color w:val="auto"/>
        </w:rPr>
        <w:t>(unaudited)</w:t>
      </w:r>
    </w:p>
    <w:p>
      <w:pPr>
        <w:sectPr>
          <w:pgSz w:w="11900" w:h="16838" w:orient="portrait"/>
          <w:cols w:equalWidth="0" w:num="1">
            <w:col w:w="11240"/>
          </w:cols>
          <w:pgMar w:left="320" w:top="845" w:right="3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Assets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Current assets</w:t>
      </w:r>
    </w:p>
    <w:p>
      <w:pPr>
        <w:spacing w:after="0" w:line="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Marketable securities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4911725"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911725" cy="137160"/>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Inventory</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Contract costs,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4911725"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911725" cy="137160"/>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4911725"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911725" cy="13716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Property and equipment, net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4911725"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911725"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Contract costs, long-term</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3"/>
                <w:szCs w:val="13"/>
                <w:color w:val="auto"/>
              </w:rPr>
            </w:pPr>
          </w:p>
        </w:tc>
        <w:tc>
          <w:tcPr>
            <w:tcW w:w="13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r>
      <w:tr>
        <w:trPr>
          <w:trHeight w:val="173"/>
        </w:trPr>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636"/>
        </w:trPr>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23,739</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194,370</w:t>
            </w:r>
          </w:p>
        </w:tc>
        <w:tc>
          <w:tcPr>
            <w:tcW w:w="100" w:type="dxa"/>
            <w:vAlign w:val="bottom"/>
          </w:tcPr>
          <w:p>
            <w:pPr>
              <w:spacing w:after="0"/>
              <w:rPr>
                <w:sz w:val="24"/>
                <w:szCs w:val="24"/>
                <w:color w:val="auto"/>
              </w:rPr>
            </w:pPr>
          </w:p>
        </w:tc>
      </w:tr>
      <w:tr>
        <w:trPr>
          <w:trHeight w:val="219"/>
        </w:trPr>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144,803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19"/>
        </w:trPr>
        <w:tc>
          <w:tcPr>
            <w:tcW w:w="200" w:type="dxa"/>
            <w:vAlign w:val="bottom"/>
            <w:shd w:val="clear" w:color="auto" w:fill="CAEEFB"/>
          </w:tcPr>
          <w:p>
            <w:pPr>
              <w:spacing w:after="0"/>
              <w:rPr>
                <w:sz w:val="19"/>
                <w:szCs w:val="19"/>
                <w:color w:val="auto"/>
              </w:rPr>
            </w:pPr>
          </w:p>
        </w:tc>
        <w:tc>
          <w:tcPr>
            <w:tcW w:w="136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6"/>
                <w:szCs w:val="16"/>
                <w:color w:val="auto"/>
              </w:rPr>
              <w:t>12,234</w:t>
            </w:r>
          </w:p>
        </w:tc>
        <w:tc>
          <w:tcPr>
            <w:tcW w:w="280" w:type="dxa"/>
            <w:vAlign w:val="bottom"/>
            <w:shd w:val="clear" w:color="auto" w:fill="CAEEFB"/>
          </w:tcPr>
          <w:p>
            <w:pPr>
              <w:spacing w:after="0"/>
              <w:rPr>
                <w:sz w:val="19"/>
                <w:szCs w:val="19"/>
                <w:color w:val="auto"/>
              </w:rPr>
            </w:pPr>
          </w:p>
        </w:tc>
        <w:tc>
          <w:tcPr>
            <w:tcW w:w="220" w:type="dxa"/>
            <w:vAlign w:val="bottom"/>
            <w:shd w:val="clear" w:color="auto" w:fill="CAEEFB"/>
          </w:tcPr>
          <w:p>
            <w:pPr>
              <w:spacing w:after="0"/>
              <w:rPr>
                <w:sz w:val="19"/>
                <w:szCs w:val="19"/>
                <w:color w:val="auto"/>
              </w:rPr>
            </w:pPr>
          </w:p>
        </w:tc>
        <w:tc>
          <w:tcPr>
            <w:tcW w:w="134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6"/>
                <w:szCs w:val="16"/>
                <w:color w:val="auto"/>
              </w:rPr>
              <w:t>10,878</w:t>
            </w:r>
          </w:p>
        </w:tc>
        <w:tc>
          <w:tcPr>
            <w:tcW w:w="100" w:type="dxa"/>
            <w:vAlign w:val="bottom"/>
            <w:shd w:val="clear" w:color="auto" w:fill="CAEEFB"/>
          </w:tcPr>
          <w:p>
            <w:pPr>
              <w:spacing w:after="0"/>
              <w:rPr>
                <w:sz w:val="19"/>
                <w:szCs w:val="19"/>
                <w:color w:val="auto"/>
              </w:rPr>
            </w:pPr>
          </w:p>
        </w:tc>
      </w:tr>
      <w:tr>
        <w:trPr>
          <w:trHeight w:val="213"/>
        </w:trPr>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6,937</w:t>
            </w:r>
          </w:p>
        </w:tc>
        <w:tc>
          <w:tcPr>
            <w:tcW w:w="100" w:type="dxa"/>
            <w:vAlign w:val="bottom"/>
          </w:tcPr>
          <w:p>
            <w:pPr>
              <w:spacing w:after="0"/>
              <w:rPr>
                <w:sz w:val="18"/>
                <w:szCs w:val="18"/>
                <w:color w:val="auto"/>
              </w:rPr>
            </w:pPr>
          </w:p>
        </w:tc>
      </w:tr>
      <w:tr>
        <w:trPr>
          <w:trHeight w:val="219"/>
        </w:trPr>
        <w:tc>
          <w:tcPr>
            <w:tcW w:w="200" w:type="dxa"/>
            <w:vAlign w:val="bottom"/>
            <w:shd w:val="clear" w:color="auto" w:fill="CAEEFB"/>
          </w:tcPr>
          <w:p>
            <w:pPr>
              <w:spacing w:after="0"/>
              <w:rPr>
                <w:sz w:val="19"/>
                <w:szCs w:val="19"/>
                <w:color w:val="auto"/>
              </w:rPr>
            </w:pPr>
          </w:p>
        </w:tc>
        <w:tc>
          <w:tcPr>
            <w:tcW w:w="136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6"/>
                <w:szCs w:val="16"/>
                <w:color w:val="auto"/>
              </w:rPr>
              <w:t>2,147</w:t>
            </w:r>
          </w:p>
        </w:tc>
        <w:tc>
          <w:tcPr>
            <w:tcW w:w="280" w:type="dxa"/>
            <w:vAlign w:val="bottom"/>
            <w:shd w:val="clear" w:color="auto" w:fill="CAEEFB"/>
          </w:tcPr>
          <w:p>
            <w:pPr>
              <w:spacing w:after="0"/>
              <w:rPr>
                <w:sz w:val="19"/>
                <w:szCs w:val="19"/>
                <w:color w:val="auto"/>
              </w:rPr>
            </w:pPr>
          </w:p>
        </w:tc>
        <w:tc>
          <w:tcPr>
            <w:tcW w:w="220" w:type="dxa"/>
            <w:vAlign w:val="bottom"/>
            <w:shd w:val="clear" w:color="auto" w:fill="CAEEFB"/>
          </w:tcPr>
          <w:p>
            <w:pPr>
              <w:spacing w:after="0"/>
              <w:rPr>
                <w:sz w:val="19"/>
                <w:szCs w:val="19"/>
                <w:color w:val="auto"/>
              </w:rPr>
            </w:pPr>
          </w:p>
        </w:tc>
        <w:tc>
          <w:tcPr>
            <w:tcW w:w="134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6"/>
                <w:szCs w:val="16"/>
                <w:color w:val="auto"/>
              </w:rPr>
              <w:t>1,837</w:t>
            </w:r>
          </w:p>
        </w:tc>
        <w:tc>
          <w:tcPr>
            <w:tcW w:w="100" w:type="dxa"/>
            <w:vAlign w:val="bottom"/>
            <w:shd w:val="clear" w:color="auto" w:fill="CAEEFB"/>
          </w:tcPr>
          <w:p>
            <w:pPr>
              <w:spacing w:after="0"/>
              <w:rPr>
                <w:sz w:val="19"/>
                <w:szCs w:val="19"/>
                <w:color w:val="auto"/>
              </w:rPr>
            </w:pPr>
          </w:p>
        </w:tc>
      </w:tr>
      <w:tr>
        <w:trPr>
          <w:trHeight w:val="203"/>
        </w:trPr>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2,859</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3,250</w:t>
            </w:r>
          </w:p>
        </w:tc>
        <w:tc>
          <w:tcPr>
            <w:tcW w:w="100" w:type="dxa"/>
            <w:vAlign w:val="bottom"/>
          </w:tcPr>
          <w:p>
            <w:pPr>
              <w:spacing w:after="0"/>
              <w:rPr>
                <w:sz w:val="17"/>
                <w:szCs w:val="17"/>
                <w:color w:val="auto"/>
              </w:rPr>
            </w:pPr>
          </w:p>
        </w:tc>
      </w:tr>
      <w:tr>
        <w:trPr>
          <w:trHeight w:val="209"/>
        </w:trPr>
        <w:tc>
          <w:tcPr>
            <w:tcW w:w="200" w:type="dxa"/>
            <w:vAlign w:val="bottom"/>
            <w:shd w:val="clear" w:color="auto" w:fill="CAEEFB"/>
          </w:tcPr>
          <w:p>
            <w:pPr>
              <w:spacing w:after="0"/>
              <w:rPr>
                <w:sz w:val="18"/>
                <w:szCs w:val="18"/>
                <w:color w:val="auto"/>
              </w:rPr>
            </w:pPr>
          </w:p>
        </w:tc>
        <w:tc>
          <w:tcPr>
            <w:tcW w:w="136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6"/>
                <w:szCs w:val="16"/>
                <w:b w:val="1"/>
                <w:bCs w:val="1"/>
                <w:color w:val="auto"/>
              </w:rPr>
              <w:t>191,806</w:t>
            </w:r>
          </w:p>
        </w:tc>
        <w:tc>
          <w:tcPr>
            <w:tcW w:w="280" w:type="dxa"/>
            <w:vAlign w:val="bottom"/>
            <w:shd w:val="clear" w:color="auto" w:fill="CAEEFB"/>
          </w:tcPr>
          <w:p>
            <w:pPr>
              <w:spacing w:after="0"/>
              <w:rPr>
                <w:sz w:val="18"/>
                <w:szCs w:val="18"/>
                <w:color w:val="auto"/>
              </w:rPr>
            </w:pPr>
          </w:p>
        </w:tc>
        <w:tc>
          <w:tcPr>
            <w:tcW w:w="220" w:type="dxa"/>
            <w:vAlign w:val="bottom"/>
            <w:shd w:val="clear" w:color="auto" w:fill="CAEEFB"/>
          </w:tcPr>
          <w:p>
            <w:pPr>
              <w:spacing w:after="0"/>
              <w:rPr>
                <w:sz w:val="18"/>
                <w:szCs w:val="18"/>
                <w:color w:val="auto"/>
              </w:rPr>
            </w:pPr>
          </w:p>
        </w:tc>
        <w:tc>
          <w:tcPr>
            <w:tcW w:w="134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6"/>
                <w:szCs w:val="16"/>
                <w:b w:val="1"/>
                <w:bCs w:val="1"/>
                <w:color w:val="auto"/>
              </w:rPr>
              <w:t>217,272</w:t>
            </w:r>
          </w:p>
        </w:tc>
        <w:tc>
          <w:tcPr>
            <w:tcW w:w="100" w:type="dxa"/>
            <w:vAlign w:val="bottom"/>
            <w:shd w:val="clear" w:color="auto" w:fill="CAEEFB"/>
          </w:tcPr>
          <w:p>
            <w:pPr>
              <w:spacing w:after="0"/>
              <w:rPr>
                <w:sz w:val="18"/>
                <w:szCs w:val="18"/>
                <w:color w:val="auto"/>
              </w:rPr>
            </w:pPr>
          </w:p>
        </w:tc>
      </w:tr>
      <w:tr>
        <w:trPr>
          <w:trHeight w:val="213"/>
        </w:trPr>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2,313</w:t>
            </w:r>
          </w:p>
        </w:tc>
        <w:tc>
          <w:tcPr>
            <w:tcW w:w="100" w:type="dxa"/>
            <w:vAlign w:val="bottom"/>
          </w:tcPr>
          <w:p>
            <w:pPr>
              <w:spacing w:after="0"/>
              <w:rPr>
                <w:sz w:val="18"/>
                <w:szCs w:val="18"/>
                <w:color w:val="auto"/>
              </w:rPr>
            </w:pPr>
          </w:p>
        </w:tc>
      </w:tr>
      <w:tr>
        <w:trPr>
          <w:trHeight w:val="219"/>
        </w:trPr>
        <w:tc>
          <w:tcPr>
            <w:tcW w:w="200" w:type="dxa"/>
            <w:vAlign w:val="bottom"/>
            <w:shd w:val="clear" w:color="auto" w:fill="CAEEFB"/>
          </w:tcPr>
          <w:p>
            <w:pPr>
              <w:spacing w:after="0"/>
              <w:rPr>
                <w:sz w:val="19"/>
                <w:szCs w:val="19"/>
                <w:color w:val="auto"/>
              </w:rPr>
            </w:pPr>
          </w:p>
        </w:tc>
        <w:tc>
          <w:tcPr>
            <w:tcW w:w="136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6"/>
                <w:szCs w:val="16"/>
                <w:color w:val="auto"/>
              </w:rPr>
              <w:t>1,405</w:t>
            </w:r>
          </w:p>
        </w:tc>
        <w:tc>
          <w:tcPr>
            <w:tcW w:w="280" w:type="dxa"/>
            <w:vAlign w:val="bottom"/>
            <w:shd w:val="clear" w:color="auto" w:fill="CAEEFB"/>
          </w:tcPr>
          <w:p>
            <w:pPr>
              <w:spacing w:after="0"/>
              <w:rPr>
                <w:sz w:val="19"/>
                <w:szCs w:val="19"/>
                <w:color w:val="auto"/>
              </w:rPr>
            </w:pPr>
          </w:p>
        </w:tc>
        <w:tc>
          <w:tcPr>
            <w:tcW w:w="220" w:type="dxa"/>
            <w:vAlign w:val="bottom"/>
            <w:shd w:val="clear" w:color="auto" w:fill="CAEEFB"/>
          </w:tcPr>
          <w:p>
            <w:pPr>
              <w:spacing w:after="0"/>
              <w:rPr>
                <w:sz w:val="19"/>
                <w:szCs w:val="19"/>
                <w:color w:val="auto"/>
              </w:rPr>
            </w:pPr>
          </w:p>
        </w:tc>
        <w:tc>
          <w:tcPr>
            <w:tcW w:w="134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6"/>
                <w:szCs w:val="16"/>
                <w:color w:val="auto"/>
              </w:rPr>
              <w:t>2,132</w:t>
            </w:r>
          </w:p>
        </w:tc>
        <w:tc>
          <w:tcPr>
            <w:tcW w:w="100" w:type="dxa"/>
            <w:vAlign w:val="bottom"/>
            <w:shd w:val="clear" w:color="auto" w:fill="CAEEFB"/>
          </w:tcPr>
          <w:p>
            <w:pPr>
              <w:spacing w:after="0"/>
              <w:rPr>
                <w:sz w:val="19"/>
                <w:szCs w:val="19"/>
                <w:color w:val="auto"/>
              </w:rPr>
            </w:pPr>
          </w:p>
        </w:tc>
      </w:tr>
      <w:tr>
        <w:trPr>
          <w:trHeight w:val="210"/>
        </w:trPr>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1,507</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-4909185</wp:posOffset>
            </wp:positionH>
            <wp:positionV relativeFrom="paragraph">
              <wp:posOffset>-1641475</wp:posOffset>
            </wp:positionV>
            <wp:extent cx="71323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-4909185</wp:posOffset>
            </wp:positionH>
            <wp:positionV relativeFrom="paragraph">
              <wp:posOffset>-1367155</wp:posOffset>
            </wp:positionV>
            <wp:extent cx="71323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7020" w:space="720"/>
            <w:col w:w="3500"/>
          </w:cols>
          <w:pgMar w:left="320" w:top="845" w:right="3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7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240" w:type="dxa"/>
            <w:vAlign w:val="bottom"/>
            <w:tcBorders>
              <w:bottom w:val="single" w:sz="8" w:color="CFF0FC"/>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AEEFB"/>
          </w:tcPr>
          <w:p>
            <w:pPr>
              <w:spacing w:after="0"/>
              <w:rPr>
                <w:sz w:val="16"/>
                <w:szCs w:val="16"/>
                <w:color w:val="auto"/>
              </w:rPr>
            </w:pPr>
          </w:p>
        </w:tc>
        <w:tc>
          <w:tcPr>
            <w:tcW w:w="1040" w:type="dxa"/>
            <w:vAlign w:val="bottom"/>
            <w:tcBorders>
              <w:bottom w:val="single" w:sz="8" w:color="auto"/>
            </w:tcBorders>
            <w:shd w:val="clear" w:color="auto" w:fill="CAEEFB"/>
          </w:tcPr>
          <w:p>
            <w:pPr>
              <w:jc w:val="right"/>
              <w:spacing w:after="0"/>
              <w:rPr>
                <w:sz w:val="20"/>
                <w:szCs w:val="20"/>
                <w:color w:val="auto"/>
              </w:rPr>
            </w:pPr>
            <w:r>
              <w:rPr>
                <w:rFonts w:ascii="Times New Roman" w:cs="Times New Roman" w:eastAsia="Times New Roman" w:hAnsi="Times New Roman"/>
                <w:sz w:val="16"/>
                <w:szCs w:val="16"/>
                <w:color w:val="auto"/>
              </w:rPr>
              <w:t>2,436</w:t>
            </w:r>
          </w:p>
        </w:tc>
        <w:tc>
          <w:tcPr>
            <w:tcW w:w="160" w:type="dxa"/>
            <w:vAlign w:val="bottom"/>
            <w:tcBorders>
              <w:bottom w:val="single" w:sz="8" w:color="CAEEFB"/>
            </w:tcBorders>
            <w:shd w:val="clear" w:color="auto" w:fill="CAEEFB"/>
          </w:tcPr>
          <w:p>
            <w:pPr>
              <w:spacing w:after="0"/>
              <w:rPr>
                <w:sz w:val="16"/>
                <w:szCs w:val="16"/>
                <w:color w:val="auto"/>
              </w:rPr>
            </w:pPr>
          </w:p>
        </w:tc>
        <w:tc>
          <w:tcPr>
            <w:tcW w:w="120" w:type="dxa"/>
            <w:vAlign w:val="bottom"/>
            <w:tcBorders>
              <w:bottom w:val="single" w:sz="8" w:color="CAEEFB"/>
            </w:tcBorders>
            <w:shd w:val="clear" w:color="auto" w:fill="CAEEFB"/>
          </w:tcPr>
          <w:p>
            <w:pPr>
              <w:spacing w:after="0"/>
              <w:rPr>
                <w:sz w:val="16"/>
                <w:szCs w:val="16"/>
                <w:color w:val="auto"/>
              </w:rPr>
            </w:pPr>
          </w:p>
        </w:tc>
        <w:tc>
          <w:tcPr>
            <w:tcW w:w="520" w:type="dxa"/>
            <w:vAlign w:val="bottom"/>
            <w:tcBorders>
              <w:bottom w:val="single" w:sz="8" w:color="auto"/>
            </w:tcBorders>
            <w:shd w:val="clear" w:color="auto" w:fill="CAEEFB"/>
          </w:tcPr>
          <w:p>
            <w:pPr>
              <w:spacing w:after="0"/>
              <w:rPr>
                <w:sz w:val="16"/>
                <w:szCs w:val="16"/>
                <w:color w:val="auto"/>
              </w:rPr>
            </w:pPr>
          </w:p>
        </w:tc>
        <w:tc>
          <w:tcPr>
            <w:tcW w:w="1040" w:type="dxa"/>
            <w:vAlign w:val="bottom"/>
            <w:tcBorders>
              <w:bottom w:val="single" w:sz="8" w:color="auto"/>
            </w:tcBorders>
            <w:shd w:val="clear" w:color="auto" w:fill="CAEEFB"/>
          </w:tcPr>
          <w:p>
            <w:pPr>
              <w:jc w:val="right"/>
              <w:spacing w:after="0"/>
              <w:rPr>
                <w:sz w:val="20"/>
                <w:szCs w:val="20"/>
                <w:color w:val="auto"/>
              </w:rPr>
            </w:pPr>
            <w:r>
              <w:rPr>
                <w:rFonts w:ascii="Times New Roman" w:cs="Times New Roman" w:eastAsia="Times New Roman" w:hAnsi="Times New Roman"/>
                <w:sz w:val="16"/>
                <w:szCs w:val="16"/>
                <w:color w:val="auto"/>
              </w:rPr>
              <w:t>2,188</w:t>
            </w:r>
          </w:p>
        </w:tc>
        <w:tc>
          <w:tcPr>
            <w:tcW w:w="100" w:type="dxa"/>
            <w:vAlign w:val="bottom"/>
            <w:tcBorders>
              <w:bottom w:val="single" w:sz="8" w:color="CAEEFB"/>
            </w:tcBorders>
            <w:shd w:val="clear" w:color="auto" w:fill="CAEEFB"/>
          </w:tcPr>
          <w:p>
            <w:pPr>
              <w:spacing w:after="0"/>
              <w:rPr>
                <w:sz w:val="16"/>
                <w:szCs w:val="16"/>
                <w:color w:val="auto"/>
              </w:rPr>
            </w:pPr>
          </w:p>
        </w:tc>
      </w:tr>
      <w:tr>
        <w:trPr>
          <w:trHeight w:val="196"/>
        </w:trPr>
        <w:tc>
          <w:tcPr>
            <w:tcW w:w="7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40" w:type="dxa"/>
            <w:vAlign w:val="bottom"/>
          </w:tcPr>
          <w:p>
            <w:pPr>
              <w:spacing w:after="0"/>
              <w:rPr>
                <w:sz w:val="17"/>
                <w:szCs w:val="17"/>
                <w:color w:val="auto"/>
              </w:rPr>
            </w:pPr>
          </w:p>
        </w:tc>
        <w:tc>
          <w:tcPr>
            <w:tcW w:w="5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199,525</w:t>
            </w:r>
          </w:p>
        </w:tc>
        <w:tc>
          <w:tcPr>
            <w:tcW w:w="160" w:type="dxa"/>
            <w:vAlign w:val="bottom"/>
          </w:tcPr>
          <w:p>
            <w:pPr>
              <w:spacing w:after="0"/>
              <w:rPr>
                <w:sz w:val="17"/>
                <w:szCs w:val="17"/>
                <w:color w:val="auto"/>
              </w:rPr>
            </w:pPr>
          </w:p>
        </w:tc>
        <w:tc>
          <w:tcPr>
            <w:tcW w:w="6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225,412</w:t>
            </w:r>
          </w:p>
        </w:tc>
        <w:tc>
          <w:tcPr>
            <w:tcW w:w="100" w:type="dxa"/>
            <w:vAlign w:val="bottom"/>
          </w:tcPr>
          <w:p>
            <w:pPr>
              <w:spacing w:after="0"/>
              <w:rPr>
                <w:sz w:val="17"/>
                <w:szCs w:val="17"/>
                <w:color w:val="auto"/>
              </w:rPr>
            </w:pPr>
          </w:p>
        </w:tc>
      </w:tr>
      <w:tr>
        <w:trPr>
          <w:trHeight w:val="209"/>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40" w:type="dxa"/>
            <w:vAlign w:val="bottom"/>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4"/>
        </w:trPr>
        <w:tc>
          <w:tcPr>
            <w:tcW w:w="7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7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shd w:val="clear" w:color="auto" w:fill="CFF0FC"/>
          </w:tcPr>
          <w:p>
            <w:pPr>
              <w:spacing w:after="0"/>
              <w:rPr>
                <w:sz w:val="18"/>
                <w:szCs w:val="18"/>
                <w:color w:val="auto"/>
              </w:rPr>
            </w:pPr>
          </w:p>
        </w:tc>
        <w:tc>
          <w:tcPr>
            <w:tcW w:w="520" w:type="dxa"/>
            <w:vAlign w:val="bottom"/>
            <w:shd w:val="clear" w:color="auto" w:fill="CAEEFB"/>
          </w:tcPr>
          <w:p>
            <w:pPr>
              <w:jc w:val="right"/>
              <w:ind w:right="35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6"/>
                <w:szCs w:val="16"/>
                <w:color w:val="auto"/>
              </w:rPr>
              <w:t>2,182</w:t>
            </w:r>
          </w:p>
        </w:tc>
        <w:tc>
          <w:tcPr>
            <w:tcW w:w="160" w:type="dxa"/>
            <w:vAlign w:val="bottom"/>
            <w:shd w:val="clear" w:color="auto" w:fill="CAEEFB"/>
          </w:tcPr>
          <w:p>
            <w:pPr>
              <w:spacing w:after="0"/>
              <w:rPr>
                <w:sz w:val="18"/>
                <w:szCs w:val="18"/>
                <w:color w:val="auto"/>
              </w:rPr>
            </w:pPr>
          </w:p>
        </w:tc>
        <w:tc>
          <w:tcPr>
            <w:tcW w:w="640" w:type="dxa"/>
            <w:vAlign w:val="bottom"/>
            <w:gridSpan w:val="2"/>
            <w:shd w:val="clear" w:color="auto" w:fill="CAEEFB"/>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6"/>
                <w:szCs w:val="16"/>
                <w:color w:val="auto"/>
              </w:rPr>
              <w:t>1,143</w:t>
            </w:r>
          </w:p>
        </w:tc>
        <w:tc>
          <w:tcPr>
            <w:tcW w:w="100" w:type="dxa"/>
            <w:vAlign w:val="bottom"/>
            <w:shd w:val="clear" w:color="auto" w:fill="CAEEFB"/>
          </w:tcPr>
          <w:p>
            <w:pPr>
              <w:spacing w:after="0"/>
              <w:rPr>
                <w:sz w:val="18"/>
                <w:szCs w:val="18"/>
                <w:color w:val="auto"/>
              </w:rPr>
            </w:pPr>
          </w:p>
        </w:tc>
      </w:tr>
      <w:tr>
        <w:trPr>
          <w:trHeight w:val="213"/>
        </w:trPr>
        <w:tc>
          <w:tcPr>
            <w:tcW w:w="7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liabilities</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10,052</w:t>
            </w:r>
          </w:p>
        </w:tc>
        <w:tc>
          <w:tcPr>
            <w:tcW w:w="100" w:type="dxa"/>
            <w:vAlign w:val="bottom"/>
          </w:tcPr>
          <w:p>
            <w:pPr>
              <w:spacing w:after="0"/>
              <w:rPr>
                <w:sz w:val="18"/>
                <w:szCs w:val="18"/>
                <w:color w:val="auto"/>
              </w:rPr>
            </w:pPr>
          </w:p>
        </w:tc>
      </w:tr>
      <w:tr>
        <w:trPr>
          <w:trHeight w:val="219"/>
        </w:trPr>
        <w:tc>
          <w:tcPr>
            <w:tcW w:w="7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Contract liabilities, current</w:t>
            </w:r>
          </w:p>
        </w:tc>
        <w:tc>
          <w:tcPr>
            <w:tcW w:w="240" w:type="dxa"/>
            <w:vAlign w:val="bottom"/>
            <w:shd w:val="clear" w:color="auto" w:fill="CFF0FC"/>
          </w:tcPr>
          <w:p>
            <w:pPr>
              <w:spacing w:after="0"/>
              <w:rPr>
                <w:sz w:val="19"/>
                <w:szCs w:val="19"/>
                <w:color w:val="auto"/>
              </w:rPr>
            </w:pPr>
          </w:p>
        </w:tc>
        <w:tc>
          <w:tcPr>
            <w:tcW w:w="520" w:type="dxa"/>
            <w:vAlign w:val="bottom"/>
            <w:shd w:val="clear" w:color="auto" w:fill="CAEEFB"/>
          </w:tcPr>
          <w:p>
            <w:pPr>
              <w:spacing w:after="0"/>
              <w:rPr>
                <w:sz w:val="19"/>
                <w:szCs w:val="19"/>
                <w:color w:val="auto"/>
              </w:rPr>
            </w:pPr>
          </w:p>
        </w:tc>
        <w:tc>
          <w:tcPr>
            <w:tcW w:w="104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60" w:type="dxa"/>
            <w:vAlign w:val="bottom"/>
            <w:shd w:val="clear" w:color="auto" w:fill="CAEEFB"/>
          </w:tcPr>
          <w:p>
            <w:pPr>
              <w:spacing w:after="0"/>
              <w:rPr>
                <w:sz w:val="19"/>
                <w:szCs w:val="19"/>
                <w:color w:val="auto"/>
              </w:rPr>
            </w:pPr>
          </w:p>
        </w:tc>
        <w:tc>
          <w:tcPr>
            <w:tcW w:w="120" w:type="dxa"/>
            <w:vAlign w:val="bottom"/>
            <w:shd w:val="clear" w:color="auto" w:fill="CAEEFB"/>
          </w:tcPr>
          <w:p>
            <w:pPr>
              <w:spacing w:after="0"/>
              <w:rPr>
                <w:sz w:val="19"/>
                <w:szCs w:val="19"/>
                <w:color w:val="auto"/>
              </w:rPr>
            </w:pPr>
          </w:p>
        </w:tc>
        <w:tc>
          <w:tcPr>
            <w:tcW w:w="520" w:type="dxa"/>
            <w:vAlign w:val="bottom"/>
            <w:shd w:val="clear" w:color="auto" w:fill="CAEEFB"/>
          </w:tcPr>
          <w:p>
            <w:pPr>
              <w:spacing w:after="0"/>
              <w:rPr>
                <w:sz w:val="19"/>
                <w:szCs w:val="19"/>
                <w:color w:val="auto"/>
              </w:rPr>
            </w:pPr>
          </w:p>
        </w:tc>
        <w:tc>
          <w:tcPr>
            <w:tcW w:w="104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shd w:val="clear" w:color="auto" w:fill="CAEEFB"/>
          </w:tcPr>
          <w:p>
            <w:pPr>
              <w:spacing w:after="0"/>
              <w:rPr>
                <w:sz w:val="19"/>
                <w:szCs w:val="19"/>
                <w:color w:val="auto"/>
              </w:rPr>
            </w:pPr>
          </w:p>
        </w:tc>
      </w:tr>
      <w:tr>
        <w:trPr>
          <w:trHeight w:val="213"/>
        </w:trPr>
        <w:tc>
          <w:tcPr>
            <w:tcW w:w="7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liability, current</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1,088</w:t>
            </w:r>
          </w:p>
        </w:tc>
        <w:tc>
          <w:tcPr>
            <w:tcW w:w="100" w:type="dxa"/>
            <w:vAlign w:val="bottom"/>
          </w:tcPr>
          <w:p>
            <w:pPr>
              <w:spacing w:after="0"/>
              <w:rPr>
                <w:sz w:val="18"/>
                <w:szCs w:val="18"/>
                <w:color w:val="auto"/>
              </w:rPr>
            </w:pPr>
          </w:p>
        </w:tc>
      </w:tr>
      <w:tr>
        <w:trPr>
          <w:trHeight w:val="205"/>
        </w:trPr>
        <w:tc>
          <w:tcPr>
            <w:tcW w:w="75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4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766</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4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15,168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12,989</w:t>
            </w:r>
          </w:p>
        </w:tc>
        <w:tc>
          <w:tcPr>
            <w:tcW w:w="100" w:type="dxa"/>
            <w:vAlign w:val="bottom"/>
          </w:tcPr>
          <w:p>
            <w:pPr>
              <w:spacing w:after="0"/>
              <w:rPr>
                <w:sz w:val="17"/>
                <w:szCs w:val="17"/>
                <w:color w:val="auto"/>
              </w:rPr>
            </w:pPr>
          </w:p>
        </w:tc>
      </w:tr>
      <w:tr>
        <w:trPr>
          <w:trHeight w:val="210"/>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Long-term liabilities</w:t>
            </w:r>
          </w:p>
        </w:tc>
        <w:tc>
          <w:tcPr>
            <w:tcW w:w="2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7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Notes payable, long-term</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19,558</w:t>
            </w:r>
          </w:p>
        </w:tc>
        <w:tc>
          <w:tcPr>
            <w:tcW w:w="100" w:type="dxa"/>
            <w:vAlign w:val="bottom"/>
          </w:tcPr>
          <w:p>
            <w:pPr>
              <w:spacing w:after="0"/>
              <w:rPr>
                <w:sz w:val="18"/>
                <w:szCs w:val="18"/>
                <w:color w:val="auto"/>
              </w:rPr>
            </w:pPr>
          </w:p>
        </w:tc>
      </w:tr>
      <w:tr>
        <w:trPr>
          <w:trHeight w:val="219"/>
        </w:trPr>
        <w:tc>
          <w:tcPr>
            <w:tcW w:w="7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Contract liabilities, long-term</w:t>
            </w: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FF0FC"/>
          </w:tcPr>
          <w:p>
            <w:pPr>
              <w:spacing w:after="0"/>
              <w:rPr>
                <w:sz w:val="19"/>
                <w:szCs w:val="19"/>
                <w:color w:val="auto"/>
              </w:rPr>
            </w:pPr>
          </w:p>
        </w:tc>
      </w:tr>
      <w:tr>
        <w:trPr>
          <w:trHeight w:val="213"/>
        </w:trPr>
        <w:tc>
          <w:tcPr>
            <w:tcW w:w="7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liabilities, long-term</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00" w:type="dxa"/>
            <w:vAlign w:val="bottom"/>
          </w:tcPr>
          <w:p>
            <w:pPr>
              <w:spacing w:after="0"/>
              <w:rPr>
                <w:sz w:val="18"/>
                <w:szCs w:val="18"/>
                <w:color w:val="auto"/>
              </w:rPr>
            </w:pPr>
          </w:p>
        </w:tc>
      </w:tr>
      <w:tr>
        <w:trPr>
          <w:trHeight w:val="205"/>
        </w:trPr>
        <w:tc>
          <w:tcPr>
            <w:tcW w:w="75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Operating lease liability, long-term</w:t>
            </w:r>
          </w:p>
        </w:tc>
        <w:tc>
          <w:tcPr>
            <w:tcW w:w="24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long-term liabilities</w:t>
            </w:r>
          </w:p>
        </w:tc>
        <w:tc>
          <w:tcPr>
            <w:tcW w:w="24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20,276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21,258</w:t>
            </w:r>
          </w:p>
        </w:tc>
        <w:tc>
          <w:tcPr>
            <w:tcW w:w="100" w:type="dxa"/>
            <w:vAlign w:val="bottom"/>
          </w:tcPr>
          <w:p>
            <w:pPr>
              <w:spacing w:after="0"/>
              <w:rPr>
                <w:sz w:val="17"/>
                <w:szCs w:val="17"/>
                <w:color w:val="auto"/>
              </w:rPr>
            </w:pPr>
          </w:p>
        </w:tc>
      </w:tr>
      <w:tr>
        <w:trPr>
          <w:trHeight w:val="196"/>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760" w:type="dxa"/>
            <w:vAlign w:val="bottom"/>
            <w:gridSpan w:val="2"/>
            <w:shd w:val="clear" w:color="auto" w:fill="CFF0FC"/>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35,444</w:t>
            </w:r>
          </w:p>
        </w:tc>
        <w:tc>
          <w:tcPr>
            <w:tcW w:w="16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34,247</w:t>
            </w:r>
          </w:p>
        </w:tc>
        <w:tc>
          <w:tcPr>
            <w:tcW w:w="100" w:type="dxa"/>
            <w:vAlign w:val="bottom"/>
            <w:shd w:val="clear" w:color="auto" w:fill="CFF0FC"/>
          </w:tcPr>
          <w:p>
            <w:pPr>
              <w:spacing w:after="0"/>
              <w:rPr>
                <w:sz w:val="17"/>
                <w:szCs w:val="17"/>
                <w:color w:val="auto"/>
              </w:rPr>
            </w:pPr>
          </w:p>
        </w:tc>
      </w:tr>
      <w:tr>
        <w:trPr>
          <w:trHeight w:val="208"/>
        </w:trPr>
        <w:tc>
          <w:tcPr>
            <w:tcW w:w="75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240" w:type="dxa"/>
            <w:vAlign w:val="bottom"/>
            <w:tcBorders>
              <w:top w:val="single" w:sz="8" w:color="CFF0FC"/>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8"/>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4"/>
        </w:trPr>
        <w:tc>
          <w:tcPr>
            <w:tcW w:w="7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Preferred stock, $0.001 par value;</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7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Authorized shares: 10,000,000 as of both September 30, 2025 and December 31, 2024</w:t>
            </w:r>
          </w:p>
        </w:tc>
        <w:tc>
          <w:tcPr>
            <w:tcW w:w="2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7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Issued and outstanding shares: none as of both September 30, 2025 and December 31, 2024</w:t>
            </w: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Common stock, $0.001 par value;</w:t>
            </w:r>
          </w:p>
        </w:tc>
        <w:tc>
          <w:tcPr>
            <w:tcW w:w="240" w:type="dxa"/>
            <w:vAlign w:val="bottom"/>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7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Authorized shares: 500,000,000 as of both September 30, 2025 and December 31, 2024</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7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Issued and outstanding shares: 37,048,397 and 35,850,606 as of September 30, 2025 and December 31, 2024,</w:t>
            </w:r>
          </w:p>
        </w:tc>
        <w:tc>
          <w:tcPr>
            <w:tcW w:w="24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7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respectively</w:t>
            </w:r>
          </w:p>
        </w:tc>
        <w:tc>
          <w:tcPr>
            <w:tcW w:w="2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FF0FC"/>
          </w:tcPr>
          <w:p>
            <w:pPr>
              <w:spacing w:after="0"/>
              <w:rPr>
                <w:sz w:val="18"/>
                <w:szCs w:val="18"/>
                <w:color w:val="auto"/>
              </w:rPr>
            </w:pPr>
          </w:p>
        </w:tc>
      </w:tr>
      <w:tr>
        <w:trPr>
          <w:trHeight w:val="213"/>
        </w:trPr>
        <w:tc>
          <w:tcPr>
            <w:tcW w:w="7500" w:type="dxa"/>
            <w:vAlign w:val="bottom"/>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370,733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358,073</w:t>
            </w:r>
          </w:p>
        </w:tc>
        <w:tc>
          <w:tcPr>
            <w:tcW w:w="100" w:type="dxa"/>
            <w:vAlign w:val="bottom"/>
          </w:tcPr>
          <w:p>
            <w:pPr>
              <w:spacing w:after="0"/>
              <w:rPr>
                <w:sz w:val="18"/>
                <w:szCs w:val="18"/>
                <w:color w:val="auto"/>
              </w:rPr>
            </w:pPr>
          </w:p>
        </w:tc>
      </w:tr>
      <w:tr>
        <w:trPr>
          <w:trHeight w:val="219"/>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500" w:type="dxa"/>
            <w:vAlign w:val="bottom"/>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(206,829)</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(166,944)</w:t>
            </w:r>
          </w:p>
        </w:tc>
      </w:tr>
      <w:tr>
        <w:trPr>
          <w:trHeight w:val="196"/>
        </w:trPr>
        <w:tc>
          <w:tcPr>
            <w:tcW w:w="7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24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164,081</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191,165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760" w:type="dxa"/>
            <w:vAlign w:val="bottom"/>
            <w:gridSpan w:val="2"/>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199,525</w:t>
            </w:r>
          </w:p>
        </w:tc>
        <w:tc>
          <w:tcPr>
            <w:tcW w:w="160" w:type="dxa"/>
            <w:vAlign w:val="bottom"/>
          </w:tcPr>
          <w:p>
            <w:pPr>
              <w:spacing w:after="0"/>
              <w:rPr>
                <w:sz w:val="17"/>
                <w:szCs w:val="17"/>
                <w:color w:val="auto"/>
              </w:rPr>
            </w:pPr>
          </w:p>
        </w:tc>
        <w:tc>
          <w:tcPr>
            <w:tcW w:w="6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225,412</w:t>
            </w:r>
          </w:p>
        </w:tc>
        <w:tc>
          <w:tcPr>
            <w:tcW w:w="100" w:type="dxa"/>
            <w:vAlign w:val="bottom"/>
          </w:tcPr>
          <w:p>
            <w:pPr>
              <w:spacing w:after="0"/>
              <w:rPr>
                <w:sz w:val="17"/>
                <w:szCs w:val="17"/>
                <w:color w:val="auto"/>
              </w:rPr>
            </w:pPr>
          </w:p>
        </w:tc>
      </w:tr>
      <w:tr>
        <w:trPr>
          <w:trHeight w:val="1161"/>
        </w:trPr>
        <w:tc>
          <w:tcPr>
            <w:tcW w:w="75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20" w:type="dxa"/>
            <w:vAlign w:val="bottom"/>
            <w:tcBorders>
              <w:top w:val="single" w:sz="8" w:color="auto"/>
              <w:bottom w:val="single" w:sz="8" w:color="9A9A9A"/>
            </w:tcBorders>
          </w:tcPr>
          <w:p>
            <w:pPr>
              <w:spacing w:after="0"/>
              <w:rPr>
                <w:sz w:val="24"/>
                <w:szCs w:val="24"/>
                <w:color w:val="auto"/>
              </w:rPr>
            </w:pPr>
          </w:p>
        </w:tc>
        <w:tc>
          <w:tcPr>
            <w:tcW w:w="1040" w:type="dxa"/>
            <w:vAlign w:val="bottom"/>
            <w:tcBorders>
              <w:top w:val="single" w:sz="8" w:color="auto"/>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top w:val="single" w:sz="8" w:color="auto"/>
              <w:bottom w:val="single" w:sz="8" w:color="9A9A9A"/>
            </w:tcBorders>
          </w:tcPr>
          <w:p>
            <w:pPr>
              <w:spacing w:after="0"/>
              <w:rPr>
                <w:sz w:val="24"/>
                <w:szCs w:val="24"/>
                <w:color w:val="auto"/>
              </w:rPr>
            </w:pPr>
          </w:p>
        </w:tc>
        <w:tc>
          <w:tcPr>
            <w:tcW w:w="1040" w:type="dxa"/>
            <w:vAlign w:val="bottom"/>
            <w:tcBorders>
              <w:top w:val="single" w:sz="8" w:color="auto"/>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-4859655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-4859655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-3762375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-3762375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-2939415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-2939415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-2665095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-2665095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-899795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-899795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type w:val="continuous"/>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2025-11-04T15:24:38Z</dcterms:created>
  <dcterms:modified xsi:type="dcterms:W3CDTF">2025-11-04T15:24:38Z</dcterms:modified>
</cp:coreProperties>
</file>