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4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Chao Xingjuan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142"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94085</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1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12/01/2025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823,135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12/01/2025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16.59</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798,135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ACP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369,088</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1" w:lineRule="exact"/>
              <w:rPr>
                <w:sz w:val="20"/>
                <w:szCs w:val="20"/>
                <w:color w:val="auto"/>
              </w:rPr>
            </w:pPr>
            <w:r>
              <w:rPr>
                <w:rFonts w:ascii="Times New Roman" w:cs="Times New Roman" w:eastAsia="Times New Roman" w:hAnsi="Times New Roman"/>
                <w:sz w:val="31"/>
                <w:szCs w:val="31"/>
                <w:color w:val="0000FF"/>
                <w:vertAlign w:val="subscript"/>
              </w:rPr>
              <w:t>Trust</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12/01/2025</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06/10/2031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232,100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$16.38 to $16.82,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ACP 2021 Trust, and therefore may be deemed to share beneficial ownership of these securities.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her pecuniary interest therein.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June 10, 2021, subject to the Reporting Person's continued employment or service relationship with the Issuer on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Louisa Daniels, Attorney-in- </w:t>
      </w:r>
      <w:r>
        <w:rPr>
          <w:rFonts w:ascii="Times New Roman" w:cs="Times New Roman" w:eastAsia="Times New Roman" w:hAnsi="Times New Roman"/>
          <w:sz w:val="32"/>
          <w:szCs w:val="32"/>
          <w:color w:val="0000FF"/>
          <w:vertAlign w:val="subscript"/>
        </w:rPr>
        <w:t>12/03/2025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Xingjuan (Jane) Chao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94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5784"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2025-12-03T12:42:33Z</dcterms:created>
  <dcterms:modified xsi:type="dcterms:W3CDTF">2025-12-03T12:42:33Z</dcterms:modified>
</cp:coreProperties>
</file>