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1289050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182245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63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579"/>
        <w:spacing w:after="0"/>
        <w:rPr>
          <w:sz w:val="20"/>
          <w:szCs w:val="20"/>
          <w:color w:val="auto"/>
        </w:rPr>
      </w:pPr>
      <w:r>
        <w:rPr>
          <w:rFonts w:ascii="Times New Roman" w:cs="Times New Roman" w:eastAsia="Times New Roman" w:hAnsi="Times New Roman"/>
          <w:sz w:val="43"/>
          <w:szCs w:val="43"/>
          <w:b w:val="1"/>
          <w:bCs w:val="1"/>
          <w:color w:val="auto"/>
        </w:rPr>
        <w:t>CeriBell, Inc.</w:t>
      </w:r>
    </w:p>
    <w:p>
      <w:pPr>
        <w:spacing w:after="0" w:line="5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2" w:lineRule="exact"/>
        <w:rPr>
          <w:sz w:val="24"/>
          <w:szCs w:val="24"/>
          <w:color w:val="auto"/>
        </w:rPr>
      </w:pPr>
    </w:p>
    <w:tbl>
      <w:tblPr>
        <w:tblLayout w:type="fixed"/>
        <w:tblInd w:w="720" w:type="dxa"/>
        <w:tblCellMar>
          <w:top w:w="0" w:type="dxa"/>
          <w:left w:w="0" w:type="dxa"/>
          <w:bottom w:w="0" w:type="dxa"/>
          <w:right w:w="0" w:type="dxa"/>
        </w:tblCellMar>
      </w:tblPr>
      <w:tr>
        <w:trPr>
          <w:trHeight w:val="238"/>
        </w:trPr>
        <w:tc>
          <w:tcPr>
            <w:tcW w:w="348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center"/>
              <w:ind w:right="82"/>
              <w:spacing w:after="0"/>
              <w:rPr>
                <w:sz w:val="20"/>
                <w:szCs w:val="20"/>
                <w:color w:val="auto"/>
              </w:rPr>
            </w:pPr>
            <w:r>
              <w:rPr>
                <w:rFonts w:ascii="Times New Roman" w:cs="Times New Roman" w:eastAsia="Times New Roman" w:hAnsi="Times New Roman"/>
                <w:sz w:val="18"/>
                <w:szCs w:val="18"/>
                <w:b w:val="1"/>
                <w:bCs w:val="1"/>
                <w:color w:val="auto"/>
                <w:w w:val="98"/>
              </w:rPr>
              <w:t>001-281784</w:t>
            </w:r>
          </w:p>
        </w:tc>
        <w:tc>
          <w:tcPr>
            <w:tcW w:w="2700" w:type="dxa"/>
            <w:vAlign w:val="bottom"/>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47-1785452</w:t>
            </w:r>
          </w:p>
        </w:tc>
      </w:tr>
      <w:tr>
        <w:trPr>
          <w:trHeight w:val="151"/>
        </w:trPr>
        <w:tc>
          <w:tcPr>
            <w:tcW w:w="3480" w:type="dxa"/>
            <w:vAlign w:val="bottom"/>
          </w:tcPr>
          <w:p>
            <w:pPr>
              <w:jc w:val="center"/>
              <w:ind w:right="999"/>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260" w:type="dxa"/>
            <w:vAlign w:val="bottom"/>
          </w:tcPr>
          <w:p>
            <w:pPr>
              <w:jc w:val="center"/>
              <w:ind w:right="102"/>
              <w:spacing w:after="0" w:line="151"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700" w:type="dxa"/>
            <w:vAlign w:val="bottom"/>
          </w:tcPr>
          <w:p>
            <w:pPr>
              <w:jc w:val="center"/>
              <w:ind w:left="1201"/>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80" w:type="dxa"/>
            <w:vAlign w:val="bottom"/>
          </w:tcPr>
          <w:p>
            <w:pPr>
              <w:jc w:val="center"/>
              <w:ind w:right="9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2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700" w:type="dxa"/>
            <w:vAlign w:val="bottom"/>
          </w:tcPr>
          <w:p>
            <w:pPr>
              <w:jc w:val="center"/>
              <w:ind w:left="120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393"/>
        </w:trPr>
        <w:tc>
          <w:tcPr>
            <w:tcW w:w="3480" w:type="dxa"/>
            <w:vAlign w:val="bottom"/>
          </w:tcPr>
          <w:p>
            <w:pPr>
              <w:jc w:val="center"/>
              <w:ind w:right="999"/>
              <w:spacing w:after="0"/>
              <w:rPr>
                <w:sz w:val="20"/>
                <w:szCs w:val="20"/>
                <w:color w:val="auto"/>
              </w:rPr>
            </w:pPr>
            <w:r>
              <w:rPr>
                <w:rFonts w:ascii="Times New Roman" w:cs="Times New Roman" w:eastAsia="Times New Roman" w:hAnsi="Times New Roman"/>
                <w:sz w:val="18"/>
                <w:szCs w:val="18"/>
                <w:b w:val="1"/>
                <w:bCs w:val="1"/>
                <w:color w:val="auto"/>
                <w:w w:val="99"/>
              </w:rPr>
              <w:t>360 N. Pastoria Avenue</w:t>
            </w:r>
          </w:p>
        </w:tc>
        <w:tc>
          <w:tcPr>
            <w:tcW w:w="326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238"/>
        </w:trPr>
        <w:tc>
          <w:tcPr>
            <w:tcW w:w="3480" w:type="dxa"/>
            <w:vAlign w:val="bottom"/>
          </w:tcPr>
          <w:p>
            <w:pPr>
              <w:jc w:val="center"/>
              <w:ind w:right="1039"/>
              <w:spacing w:after="0"/>
              <w:rPr>
                <w:sz w:val="20"/>
                <w:szCs w:val="20"/>
                <w:color w:val="auto"/>
              </w:rPr>
            </w:pPr>
            <w:r>
              <w:rPr>
                <w:rFonts w:ascii="Times New Roman" w:cs="Times New Roman" w:eastAsia="Times New Roman" w:hAnsi="Times New Roman"/>
                <w:sz w:val="18"/>
                <w:szCs w:val="18"/>
                <w:b w:val="1"/>
                <w:bCs w:val="1"/>
                <w:color w:val="auto"/>
                <w:w w:val="99"/>
              </w:rPr>
              <w:t>Sunnyvale, California</w:t>
            </w:r>
          </w:p>
        </w:tc>
        <w:tc>
          <w:tcPr>
            <w:tcW w:w="3260" w:type="dxa"/>
            <w:vAlign w:val="bottom"/>
          </w:tcPr>
          <w:p>
            <w:pPr>
              <w:spacing w:after="0"/>
              <w:rPr>
                <w:sz w:val="20"/>
                <w:szCs w:val="20"/>
                <w:color w:val="auto"/>
              </w:rPr>
            </w:pPr>
          </w:p>
        </w:tc>
        <w:tc>
          <w:tcPr>
            <w:tcW w:w="2700" w:type="dxa"/>
            <w:vAlign w:val="bottom"/>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94085</w:t>
            </w:r>
          </w:p>
        </w:tc>
      </w:tr>
      <w:tr>
        <w:trPr>
          <w:trHeight w:val="193"/>
        </w:trPr>
        <w:tc>
          <w:tcPr>
            <w:tcW w:w="3480" w:type="dxa"/>
            <w:vAlign w:val="bottom"/>
          </w:tcPr>
          <w:p>
            <w:pPr>
              <w:jc w:val="center"/>
              <w:ind w:right="10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60" w:type="dxa"/>
            <w:vAlign w:val="bottom"/>
          </w:tcPr>
          <w:p>
            <w:pPr>
              <w:spacing w:after="0"/>
              <w:rPr>
                <w:sz w:val="16"/>
                <w:szCs w:val="16"/>
                <w:color w:val="auto"/>
              </w:rPr>
            </w:pPr>
          </w:p>
        </w:tc>
        <w:tc>
          <w:tcPr>
            <w:tcW w:w="2700" w:type="dxa"/>
            <w:vAlign w:val="bottom"/>
          </w:tcPr>
          <w:p>
            <w:pPr>
              <w:jc w:val="center"/>
              <w:ind w:left="12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90"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436-0826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1040" w:hanging="560"/>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1040" w:hanging="560"/>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1040" w:hanging="560"/>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1040" w:hanging="560"/>
        <w:spacing w:after="0"/>
        <w:tabs>
          <w:tab w:leader="none" w:pos="10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1" w:lineRule="exact"/>
        <w:rPr>
          <w:sz w:val="24"/>
          <w:szCs w:val="24"/>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898525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440" w:right="1019" w:bottom="1440" w:gutter="0" w:footer="0" w:header="0"/>
        </w:sectPr>
      </w:pPr>
    </w:p>
    <w:bookmarkStart w:id="1" w:name="page2"/>
    <w:bookmarkEnd w:id="1"/>
    <w:p>
      <w:pPr>
        <w:spacing w:after="0" w:line="255"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3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40" w:type="dxa"/>
            <w:vAlign w:val="bottom"/>
          </w:tcPr>
          <w:p>
            <w:pPr>
              <w:spacing w:after="0"/>
              <w:rPr>
                <w:sz w:val="15"/>
                <w:szCs w:val="15"/>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40" w:type="dxa"/>
            <w:vAlign w:val="bottom"/>
          </w:tcPr>
          <w:p>
            <w:pPr>
              <w:spacing w:after="0"/>
              <w:rPr>
                <w:sz w:val="15"/>
                <w:szCs w:val="15"/>
                <w:color w:val="auto"/>
              </w:rPr>
            </w:pPr>
          </w:p>
        </w:tc>
        <w:tc>
          <w:tcPr>
            <w:tcW w:w="3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7"/>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tc>
        <w:tc>
          <w:tcPr>
            <w:tcW w:w="14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CBLL</w:t>
            </w:r>
          </w:p>
        </w:tc>
        <w:tc>
          <w:tcPr>
            <w:tcW w:w="14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7" w:lineRule="exact"/>
        <w:rPr>
          <w:sz w:val="20"/>
          <w:szCs w:val="20"/>
          <w:color w:val="auto"/>
        </w:rPr>
      </w:pPr>
    </w:p>
    <w:p>
      <w:pPr>
        <w:ind w:left="820"/>
        <w:spacing w:after="0" w:line="207" w:lineRule="exact"/>
        <w:tabs>
          <w:tab w:leader="none" w:pos="1050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71" w:lineRule="exact"/>
        <w:rPr>
          <w:sz w:val="20"/>
          <w:szCs w:val="20"/>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 w:name="page3"/>
    <w:bookmarkEnd w:id="2"/>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3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November 12, 2024, the Company issued a press release announcing its financial results for the fiscal quarter ended September 30, 2024. A copy of the press release, dated November 12, 2024, is furnished hereto as Exhibit 99.1 and is incorporated herein by reference.</w:t>
      </w:r>
    </w:p>
    <w:p>
      <w:pPr>
        <w:spacing w:after="0" w:line="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foregoing information in this Item 2.02 (including the exhibit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22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Exhibit No.</w:t>
            </w:r>
          </w:p>
        </w:tc>
        <w:tc>
          <w:tcPr>
            <w:tcW w:w="220" w:type="dxa"/>
            <w:vAlign w:val="bottom"/>
          </w:tcPr>
          <w:p>
            <w:pPr>
              <w:spacing w:after="0"/>
              <w:rPr>
                <w:sz w:val="24"/>
                <w:szCs w:val="24"/>
                <w:color w:val="auto"/>
              </w:rPr>
            </w:pPr>
          </w:p>
        </w:tc>
        <w:tc>
          <w:tcPr>
            <w:tcW w:w="9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c>
          <w:tcPr>
            <w:tcW w:w="20" w:type="dxa"/>
            <w:vAlign w:val="bottom"/>
          </w:tcPr>
          <w:p>
            <w:pPr>
              <w:spacing w:after="0"/>
              <w:rPr>
                <w:sz w:val="24"/>
                <w:szCs w:val="24"/>
                <w:color w:val="auto"/>
              </w:rPr>
            </w:pPr>
          </w:p>
        </w:tc>
      </w:tr>
      <w:tr>
        <w:trPr>
          <w:trHeight w:val="196"/>
        </w:trPr>
        <w:tc>
          <w:tcPr>
            <w:tcW w:w="124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220" w:type="dxa"/>
            <w:vAlign w:val="bottom"/>
          </w:tcPr>
          <w:p>
            <w:pPr>
              <w:spacing w:after="0"/>
              <w:rPr>
                <w:sz w:val="17"/>
                <w:szCs w:val="17"/>
                <w:color w:val="auto"/>
              </w:rPr>
            </w:pPr>
          </w:p>
        </w:tc>
        <w:tc>
          <w:tcPr>
            <w:tcW w:w="42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FF"/>
              </w:rPr>
              <w:t>Press Release of CeriBell, Inc., dated November 12, 2024</w:t>
            </w:r>
          </w:p>
        </w:tc>
        <w:tc>
          <w:tcPr>
            <w:tcW w:w="55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6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2"/>
                <w:szCs w:val="22"/>
                <w:color w:val="auto"/>
              </w:rPr>
            </w:pPr>
          </w:p>
        </w:tc>
        <w:tc>
          <w:tcPr>
            <w:tcW w:w="9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c>
          <w:tcPr>
            <w:tcW w:w="20" w:type="dxa"/>
            <w:vAlign w:val="bottom"/>
          </w:tcPr>
          <w:p>
            <w:pPr>
              <w:spacing w:after="0"/>
              <w:rPr>
                <w:sz w:val="22"/>
                <w:szCs w:val="22"/>
                <w:color w:val="auto"/>
              </w:rPr>
            </w:pPr>
          </w:p>
        </w:tc>
      </w:tr>
      <w:tr>
        <w:trPr>
          <w:trHeight w:val="1856"/>
        </w:trPr>
        <w:tc>
          <w:tcPr>
            <w:tcW w:w="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95"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CERIBELL, INC.</w:t>
      </w:r>
    </w:p>
    <w:p>
      <w:pPr>
        <w:spacing w:after="0" w:line="310" w:lineRule="exact"/>
        <w:rPr>
          <w:sz w:val="20"/>
          <w:szCs w:val="20"/>
          <w:color w:val="auto"/>
        </w:rPr>
      </w:pPr>
    </w:p>
    <w:p>
      <w:pPr>
        <w:ind w:left="20"/>
        <w:spacing w:after="0"/>
        <w:tabs>
          <w:tab w:leader="none" w:pos="5740" w:val="left"/>
          <w:tab w:leader="none" w:pos="6180" w:val="left"/>
        </w:tabs>
        <w:rPr>
          <w:sz w:val="20"/>
          <w:szCs w:val="20"/>
          <w:color w:val="auto"/>
        </w:rPr>
      </w:pPr>
      <w:r>
        <w:rPr>
          <w:rFonts w:ascii="Times New Roman" w:cs="Times New Roman" w:eastAsia="Times New Roman" w:hAnsi="Times New Roman"/>
          <w:sz w:val="18"/>
          <w:szCs w:val="18"/>
          <w:color w:val="auto"/>
        </w:rPr>
        <w:t>Date: November 12, 2024</w:t>
      </w:r>
      <w:r>
        <w:rPr>
          <w:sz w:val="20"/>
          <w:szCs w:val="20"/>
          <w:color w:val="auto"/>
        </w:rPr>
        <w:tab/>
      </w:r>
      <w:r>
        <w:rPr>
          <w:rFonts w:ascii="Times New Roman" w:cs="Times New Roman" w:eastAsia="Times New Roman" w:hAnsi="Times New Roman"/>
          <w:sz w:val="18"/>
          <w:szCs w:val="18"/>
          <w:color w:val="auto"/>
        </w:rPr>
        <w:t>By:</w:t>
        <w:tab/>
        <w:t>/s/ Scott Blumberg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17145</wp:posOffset>
            </wp:positionV>
            <wp:extent cx="31889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pacing w:after="0" w:line="7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Scott Blumberg</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1042035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2660015</wp:posOffset>
            </wp:positionH>
            <wp:positionV relativeFrom="page">
              <wp:posOffset>637540</wp:posOffset>
            </wp:positionV>
            <wp:extent cx="2228850" cy="4457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228850" cy="445770"/>
                    </a:xfrm>
                    <a:prstGeom prst="rect">
                      <a:avLst/>
                    </a:prstGeom>
                    <a:noFill/>
                  </pic:spPr>
                </pic:pic>
              </a:graphicData>
            </a:graphic>
          </wp:anchor>
        </w:drawing>
      </w:r>
    </w:p>
    <w:p>
      <w:pPr>
        <w:spacing w:after="0" w:line="282" w:lineRule="exact"/>
        <w:rPr>
          <w:sz w:val="20"/>
          <w:szCs w:val="20"/>
          <w:color w:val="auto"/>
        </w:rPr>
      </w:pPr>
    </w:p>
    <w:p>
      <w:pPr>
        <w:jc w:val="center"/>
        <w:ind w:right="-39"/>
        <w:spacing w:after="0"/>
        <w:rPr>
          <w:sz w:val="20"/>
          <w:szCs w:val="20"/>
          <w:color w:val="auto"/>
        </w:rPr>
      </w:pPr>
      <w:r>
        <w:rPr>
          <w:rFonts w:ascii="Calibri" w:cs="Calibri" w:eastAsia="Calibri" w:hAnsi="Calibri"/>
          <w:sz w:val="25"/>
          <w:szCs w:val="25"/>
          <w:b w:val="1"/>
          <w:bCs w:val="1"/>
          <w:color w:val="auto"/>
        </w:rPr>
        <w:t>Ceribell Reports Third Quarter 2024 Financial Results</w:t>
      </w:r>
    </w:p>
    <w:p>
      <w:pPr>
        <w:spacing w:after="0" w:line="251" w:lineRule="exact"/>
        <w:rPr>
          <w:sz w:val="20"/>
          <w:szCs w:val="20"/>
          <w:color w:val="auto"/>
        </w:rPr>
      </w:pPr>
    </w:p>
    <w:p>
      <w:pPr>
        <w:ind w:right="60"/>
        <w:spacing w:after="0" w:line="236" w:lineRule="auto"/>
        <w:rPr>
          <w:sz w:val="20"/>
          <w:szCs w:val="20"/>
          <w:color w:val="auto"/>
        </w:rPr>
      </w:pPr>
      <w:r>
        <w:rPr>
          <w:rFonts w:ascii="Calibri" w:cs="Calibri" w:eastAsia="Calibri" w:hAnsi="Calibri"/>
          <w:sz w:val="20"/>
          <w:szCs w:val="20"/>
          <w:b w:val="1"/>
          <w:bCs w:val="1"/>
          <w:color w:val="auto"/>
        </w:rPr>
        <w:t xml:space="preserve">Sunnyvale, CA – November 12, 2024 </w:t>
      </w:r>
      <w:r>
        <w:rPr>
          <w:rFonts w:ascii="Calibri" w:cs="Calibri" w:eastAsia="Calibri" w:hAnsi="Calibri"/>
          <w:sz w:val="20"/>
          <w:szCs w:val="20"/>
          <w:color w:val="auto"/>
        </w:rPr>
        <w:t>– CeriBell, Inc. (Nasdaq: CBLL) (“Ceribell”), a medical technology company focused on transforming</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diagnosis and management of patents with serious neurological conditons, today reported fnancial results for the quarter ended September 30, 2024.</w:t>
      </w:r>
    </w:p>
    <w:p>
      <w:pPr>
        <w:spacing w:after="0" w:line="24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Third Quarter 2024 &amp; Recent Highlights</w:t>
      </w:r>
    </w:p>
    <w:p>
      <w:pPr>
        <w:spacing w:after="0" w:line="12"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Reported total revenue of $17.2 million in the third quarter of 2024, a 48% increase compared to the same period in 2023</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Achieved gross margin of 87% compared to 84% for the same period in 2023</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Ended the quarter with 504 total actve accounts</w:t>
      </w:r>
    </w:p>
    <w:p>
      <w:pPr>
        <w:spacing w:after="0" w:line="12"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Completed inital public ofering, raising approximately $188 million in net proceeds to the company</w:t>
      </w:r>
    </w:p>
    <w:p>
      <w:pPr>
        <w:spacing w:after="0" w:line="22" w:lineRule="exact"/>
        <w:rPr>
          <w:rFonts w:ascii="Times New Roman" w:cs="Times New Roman" w:eastAsia="Times New Roman" w:hAnsi="Times New Roman"/>
          <w:sz w:val="20"/>
          <w:szCs w:val="20"/>
          <w:color w:val="auto"/>
        </w:rPr>
      </w:pPr>
    </w:p>
    <w:p>
      <w:pPr>
        <w:ind w:left="1020" w:right="260" w:hanging="503"/>
        <w:spacing w:after="0" w:line="234" w:lineRule="auto"/>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Published results in Neurocritcal Care, the journal of the Neurocritcal Care Society, demonstratng a 4.1-day reducton in length of ICU stay and beter patent outcomes with Ceribell compared to conventonal EEG*</w:t>
      </w:r>
    </w:p>
    <w:p>
      <w:pPr>
        <w:spacing w:after="0" w:line="13"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Calibri" w:cs="Calibri" w:eastAsia="Calibri" w:hAnsi="Calibri"/>
          <w:sz w:val="20"/>
          <w:szCs w:val="20"/>
          <w:color w:val="auto"/>
        </w:rPr>
        <w:t>Received Authority to Operate (ATO) from the U.S. Department of Veterans Afairs for Clarity</w:t>
      </w:r>
      <w:r>
        <w:rPr>
          <w:rFonts w:ascii="Calibri" w:cs="Calibri" w:eastAsia="Calibri" w:hAnsi="Calibri"/>
          <w:sz w:val="12"/>
          <w:szCs w:val="12"/>
          <w:color w:val="auto"/>
        </w:rPr>
        <w:t>TM</w:t>
      </w:r>
      <w:r>
        <w:rPr>
          <w:rFonts w:ascii="Calibri" w:cs="Calibri" w:eastAsia="Calibri" w:hAnsi="Calibri"/>
          <w:sz w:val="20"/>
          <w:szCs w:val="20"/>
          <w:color w:val="auto"/>
        </w:rPr>
        <w:t xml:space="preserve"> Algorithm</w:t>
      </w:r>
    </w:p>
    <w:p>
      <w:pPr>
        <w:spacing w:after="0" w:line="252"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“I am encouraged by our third quarter results, which refect our sustained commercial momentum as we advance our positon as a leader in seizure detecton,” said co-founder and CEO Jane Chao, Ph.D. “We contnue to see strong adopton trends for our point-of-care rapid EEG system and are pleased with the progress made on key strategic and operatonal initatves. Following our inital public ofering in October, we believe we are well-positoned fnancially and operatonally to deliver future growth and achieve our goal of becoming the standard of care for the detecton and management of seizures in the acute care setng.”</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Third Quarter 2024 Financial Results</w:t>
      </w:r>
    </w:p>
    <w:p>
      <w:pPr>
        <w:spacing w:after="0" w:line="9" w:lineRule="exact"/>
        <w:rPr>
          <w:sz w:val="20"/>
          <w:szCs w:val="20"/>
          <w:color w:val="auto"/>
        </w:rPr>
      </w:pPr>
    </w:p>
    <w:p>
      <w:pPr>
        <w:ind w:right="20"/>
        <w:spacing w:after="0" w:line="237" w:lineRule="auto"/>
        <w:rPr>
          <w:sz w:val="20"/>
          <w:szCs w:val="20"/>
          <w:color w:val="auto"/>
        </w:rPr>
      </w:pPr>
      <w:r>
        <w:rPr>
          <w:rFonts w:ascii="Calibri" w:cs="Calibri" w:eastAsia="Calibri" w:hAnsi="Calibri"/>
          <w:sz w:val="20"/>
          <w:szCs w:val="20"/>
          <w:color w:val="auto"/>
        </w:rPr>
        <w:t>Total revenue in the third quarter of 2024 was $17.2 million, a 48% increase from $11.6 million in the third quarter of 2023. The increase was primarily driven by contnued commercial tracton, resultng from expansion into new accounts and contnued adopton within the company’s actve account base. Product revenue for the third quarter of 2024 was $13.3 million, representng an increase of 52% from $8.8 million in the third quarter of 2023. Subscripton revenue for the third quarter of 2024 was $3.9 million, representng an increase of 36% from $2.8 million in the third quarter of 2023.</w:t>
      </w:r>
    </w:p>
    <w:p>
      <w:pPr>
        <w:spacing w:after="0" w:line="253"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Gross proft in the third quarter of 2024 was $15.0 million, compared to $9.7 million for the third quarter of 2023. Gross margin for the third quarter of 2024 was 87%, compared to 84% for the same period in 2023.</w:t>
      </w:r>
    </w:p>
    <w:p>
      <w:pPr>
        <w:spacing w:after="0" w:line="253" w:lineRule="exact"/>
        <w:rPr>
          <w:sz w:val="20"/>
          <w:szCs w:val="20"/>
          <w:color w:val="auto"/>
        </w:rPr>
      </w:pPr>
    </w:p>
    <w:p>
      <w:pPr>
        <w:ind w:right="340"/>
        <w:spacing w:after="0" w:line="236" w:lineRule="auto"/>
        <w:rPr>
          <w:sz w:val="20"/>
          <w:szCs w:val="20"/>
          <w:color w:val="auto"/>
        </w:rPr>
      </w:pPr>
      <w:r>
        <w:rPr>
          <w:rFonts w:ascii="Calibri" w:cs="Calibri" w:eastAsia="Calibri" w:hAnsi="Calibri"/>
          <w:sz w:val="20"/>
          <w:szCs w:val="20"/>
          <w:color w:val="auto"/>
        </w:rPr>
        <w:t>Operatng expenses in the third quarter of 2024 were $24.9 million, compared to $16.9 million for the third quarter of 2023, representng an increase of 48%. The increase in operatng expenses was primarily atributable to investments in the company’s commercial organizaton, increased headcount to support the growth of the business, and legal, accountng, and professional service fees related to the transiton to becoming a public company.</w:t>
      </w:r>
    </w:p>
    <w:p>
      <w:pPr>
        <w:spacing w:after="0" w:line="255" w:lineRule="exact"/>
        <w:rPr>
          <w:sz w:val="20"/>
          <w:szCs w:val="20"/>
          <w:color w:val="auto"/>
        </w:rPr>
      </w:pPr>
    </w:p>
    <w:p>
      <w:pPr>
        <w:ind w:right="220"/>
        <w:spacing w:after="0" w:line="234" w:lineRule="auto"/>
        <w:rPr>
          <w:sz w:val="20"/>
          <w:szCs w:val="20"/>
          <w:color w:val="auto"/>
        </w:rPr>
      </w:pPr>
      <w:r>
        <w:rPr>
          <w:rFonts w:ascii="Calibri" w:cs="Calibri" w:eastAsia="Calibri" w:hAnsi="Calibri"/>
          <w:sz w:val="20"/>
          <w:szCs w:val="20"/>
          <w:color w:val="auto"/>
        </w:rPr>
        <w:t>Net loss in the third quarter of 2024 was $10.4 million, or $1.85 net loss per share, compared to a net loss of $7.1 million, or $1.32 net loss per share, for the same period in 2023.</w:t>
      </w:r>
    </w:p>
    <w:p>
      <w:pPr>
        <w:spacing w:after="0" w:line="253" w:lineRule="exact"/>
        <w:rPr>
          <w:sz w:val="20"/>
          <w:szCs w:val="20"/>
          <w:color w:val="auto"/>
        </w:rPr>
      </w:pPr>
    </w:p>
    <w:p>
      <w:pPr>
        <w:ind w:right="400"/>
        <w:spacing w:after="0" w:line="234" w:lineRule="auto"/>
        <w:rPr>
          <w:sz w:val="20"/>
          <w:szCs w:val="20"/>
          <w:color w:val="auto"/>
        </w:rPr>
      </w:pPr>
      <w:r>
        <w:rPr>
          <w:rFonts w:ascii="Calibri" w:cs="Calibri" w:eastAsia="Calibri" w:hAnsi="Calibri"/>
          <w:sz w:val="20"/>
          <w:szCs w:val="20"/>
          <w:color w:val="auto"/>
        </w:rPr>
        <w:t>Cash and cash equivalents totaled $14.1 million as of September 30, 2024. The company received approximately $188 million of net proceeds from its inital public ofering, which closed on October 15, 2024.</w:t>
      </w:r>
    </w:p>
    <w:p>
      <w:pPr>
        <w:spacing w:after="0" w:line="257" w:lineRule="exact"/>
        <w:rPr>
          <w:sz w:val="20"/>
          <w:szCs w:val="20"/>
          <w:color w:val="auto"/>
        </w:rPr>
      </w:pPr>
    </w:p>
    <w:p>
      <w:pPr>
        <w:spacing w:after="0"/>
        <w:rPr>
          <w:sz w:val="20"/>
          <w:szCs w:val="20"/>
          <w:color w:val="auto"/>
        </w:rPr>
      </w:pPr>
      <w:r>
        <w:rPr>
          <w:rFonts w:ascii="Calibri" w:cs="Calibri" w:eastAsia="Calibri" w:hAnsi="Calibri"/>
          <w:sz w:val="16"/>
          <w:szCs w:val="16"/>
          <w:color w:val="auto"/>
        </w:rPr>
        <w:t>* Based on Modifed Rankin Scale (mRS) score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5" w:name="page6"/>
    <w:bookmarkEnd w:id="5"/>
    <w:p>
      <w:pPr>
        <w:spacing w:after="0"/>
        <w:rPr>
          <w:sz w:val="20"/>
          <w:szCs w:val="20"/>
          <w:color w:val="auto"/>
        </w:rPr>
      </w:pPr>
      <w:r>
        <w:rPr>
          <w:rFonts w:ascii="Calibri" w:cs="Calibri" w:eastAsia="Calibri" w:hAnsi="Calibri"/>
          <w:sz w:val="20"/>
          <w:szCs w:val="20"/>
          <w:b w:val="1"/>
          <w:bCs w:val="1"/>
          <w:color w:val="auto"/>
        </w:rPr>
        <w:t>2024 Financial Outlook</w:t>
      </w:r>
    </w:p>
    <w:p>
      <w:pPr>
        <w:spacing w:after="0" w:line="9" w:lineRule="exact"/>
        <w:rPr>
          <w:sz w:val="20"/>
          <w:szCs w:val="20"/>
          <w:color w:val="auto"/>
        </w:rPr>
      </w:pPr>
    </w:p>
    <w:p>
      <w:pPr>
        <w:ind w:right="280"/>
        <w:spacing w:after="0" w:line="234" w:lineRule="auto"/>
        <w:rPr>
          <w:sz w:val="20"/>
          <w:szCs w:val="20"/>
          <w:color w:val="auto"/>
        </w:rPr>
      </w:pPr>
      <w:r>
        <w:rPr>
          <w:rFonts w:ascii="Calibri" w:cs="Calibri" w:eastAsia="Calibri" w:hAnsi="Calibri"/>
          <w:sz w:val="20"/>
          <w:szCs w:val="20"/>
          <w:color w:val="auto"/>
        </w:rPr>
        <w:t>Ceribell expects revenue for the full year 2024 to be in the range of $64.2 million to $64.7 million, representng growth of 42% to 43% over the company’s prior year revenue.</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Webcast and Conference Call Details</w:t>
      </w:r>
    </w:p>
    <w:p>
      <w:pPr>
        <w:spacing w:after="0" w:line="9"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 xml:space="preserve">Ceribell will host a conference call today, November 12, 2024, at 1:30 p.m. PT / 4:30 p.m. ET to discuss its third quarter 2024 fnancial results. Investors interested in listening to the conference call may do so by dialing (800) 715-9871 for domestc callers or (646) 307-1963 for internatonal callers and provide access code 7168007. A live and archived webcast of the event will be available on the “Investor Relatons” secton of the Ceribell website at </w:t>
      </w:r>
      <w:r>
        <w:rPr>
          <w:rFonts w:ascii="Calibri" w:cs="Calibri" w:eastAsia="Calibri" w:hAnsi="Calibri"/>
          <w:sz w:val="20"/>
          <w:szCs w:val="20"/>
          <w:color w:val="0563C1"/>
        </w:rPr>
        <w:t>htps://investors.ceribell.com/</w:t>
      </w:r>
      <w:r>
        <w:rPr>
          <w:rFonts w:ascii="Calibri" w:cs="Calibri" w:eastAsia="Calibri" w:hAnsi="Calibri"/>
          <w:sz w:val="20"/>
          <w:szCs w:val="20"/>
          <w:color w:val="auto"/>
        </w:rPr>
        <w:t>.</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9" w:lineRule="exact"/>
        <w:rPr>
          <w:sz w:val="20"/>
          <w:szCs w:val="20"/>
          <w:color w:val="auto"/>
        </w:rPr>
      </w:pPr>
    </w:p>
    <w:p>
      <w:pPr>
        <w:ind w:right="40"/>
        <w:spacing w:after="0" w:line="238" w:lineRule="auto"/>
        <w:rPr>
          <w:sz w:val="20"/>
          <w:szCs w:val="20"/>
          <w:color w:val="auto"/>
        </w:rPr>
      </w:pPr>
      <w:r>
        <w:rPr>
          <w:rFonts w:ascii="Calibri" w:cs="Calibri" w:eastAsia="Calibri" w:hAnsi="Calibri"/>
          <w:sz w:val="20"/>
          <w:szCs w:val="20"/>
          <w:color w:val="auto"/>
        </w:rPr>
        <w:t>Except where otherwise noted, the informaton contained in this earnings release and the related atachments is as of November 12, 2024. We assume no obligaton to update any forward-looking statements contained in this earnings release and the related atachments as a result of new informaton or future events or developments. This earnings release and the related atachments contain forward-looking statements within the meaning of the Private Securites Litgaton Reform Act of 1995, including statements about, among other topics, our antcipated operatng and fnancial performance, including fnancial guidance and projectons; business plans, strategy, goals and prospects; and expectatons for our products. Given their forward-looking nature, these statements involve substantal risks, uncertaintes and potentally inaccurate assumptons and we cannot ensure that any outcome expressed in these forward-looking statements will be realized in whole or in part. You can identfy these statements by the fact that they use future dates or use words such as “will,” “may,” “could,” “likely,” “ongoing,” “antcipate,” “estmate,” “expect,” “project,” “intend,” “plan,” “believe,” “assume,” “target,” “forecast,” “guidance,” “goal,” “objectve,” “aim,” “seek,” “potental,” “hope” and other words and terms of similar meaning. Ceribell’s fnancial guidance is based on estmates and assumptons that are subject to signifcant uncertaintes. Among the factors that could cause actual results to difer materially from past results and future plans and projected future results are the following: risks related to our limited operatng history and history of net losses; our ability to successfully achieve substantal market acceptance and adopton of our products; compettve pressures; our ability to adapt our manufacturing and producton capacites to evolving paterns of demand and customer trends; the manufacturing of a substantal number of our product components and their assembly in China; product defects and related liability; the complexity, tming, expense, and outcomes of clinical studies; our ability to obtain and maintain adequate coverage and reimbursement levels for our products; our ability to comply with changing laws and regulatory requirements and resultng costs; our dependence on a limited number of suppliers; and other risks and uncertaintes, including those described under the heading “Risk Factors” in our Registraton Statement on Form S-1, Quarterly Report on Form 10-Q, and other reports fled with the U.S. Securites and Exchange Commission (“SEC”). These flings, when made, are available on the Investor Relatons secton of our website at htps://investors.ceribell.com/ and on the SEC’s website at htps://sec.gov/.</w:t>
      </w:r>
    </w:p>
    <w:p>
      <w:pPr>
        <w:spacing w:after="0" w:line="25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CeriBell, Inc.</w:t>
      </w:r>
    </w:p>
    <w:p>
      <w:pPr>
        <w:spacing w:after="0" w:line="9" w:lineRule="exact"/>
        <w:rPr>
          <w:sz w:val="20"/>
          <w:szCs w:val="20"/>
          <w:color w:val="auto"/>
        </w:rPr>
      </w:pPr>
    </w:p>
    <w:p>
      <w:pPr>
        <w:spacing w:after="0" w:line="237" w:lineRule="auto"/>
        <w:rPr>
          <w:sz w:val="20"/>
          <w:szCs w:val="20"/>
          <w:color w:val="auto"/>
        </w:rPr>
      </w:pPr>
      <w:r>
        <w:rPr>
          <w:rFonts w:ascii="Calibri" w:cs="Calibri" w:eastAsia="Calibri" w:hAnsi="Calibri"/>
          <w:sz w:val="20"/>
          <w:szCs w:val="20"/>
          <w:color w:val="auto"/>
        </w:rPr>
        <w:t xml:space="preserve">Ceribell is a medical technology company focused on transforming the diagnosis and management of patents with serious neurological conditons. Ceribell has developed the Ceribell System, a novel, point-of-care electroencephalography (“EEG”) platorm specifcally designed to address the unmet needs of patents in the acute care setng. By combining proprietary, highly portable, and rapidly deployable hardware with sophistcated artfcial intelligence (“AI”)-powered algorithms, the Ceribell System enables rapid diagnosis and contnuous monitoring of patents with neurological conditons. The Ceribell System is FDA 510(k) cleared for indicatng suspected seizure actvity and currently utlized in intensive care units and emergency rooms across the U.S. Ceribell is headquartered in Sunnyvale, California. For more informaton, please visit </w:t>
      </w:r>
      <w:r>
        <w:rPr>
          <w:rFonts w:ascii="Calibri" w:cs="Calibri" w:eastAsia="Calibri" w:hAnsi="Calibri"/>
          <w:sz w:val="20"/>
          <w:szCs w:val="20"/>
          <w:color w:val="0563C1"/>
        </w:rPr>
        <w:t>www.ceribell.com</w:t>
      </w:r>
      <w:r>
        <w:rPr>
          <w:rFonts w:ascii="Calibri" w:cs="Calibri" w:eastAsia="Calibri" w:hAnsi="Calibri"/>
          <w:sz w:val="20"/>
          <w:szCs w:val="20"/>
          <w:color w:val="auto"/>
        </w:rPr>
        <w:t xml:space="preserve"> or follow the company on </w:t>
      </w:r>
      <w:r>
        <w:rPr>
          <w:rFonts w:ascii="Calibri" w:cs="Calibri" w:eastAsia="Calibri" w:hAnsi="Calibri"/>
          <w:sz w:val="20"/>
          <w:szCs w:val="20"/>
          <w:color w:val="0563C1"/>
        </w:rPr>
        <w:t>LinkedIn</w:t>
      </w:r>
      <w:r>
        <w:rPr>
          <w:rFonts w:ascii="Calibri" w:cs="Calibri" w:eastAsia="Calibri" w:hAnsi="Calibri"/>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774065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6" w:right="359" w:bottom="1440" w:gutter="0" w:footer="0" w:header="0"/>
        </w:sectPr>
      </w:pPr>
    </w:p>
    <w:bookmarkStart w:id="6" w:name="page7"/>
    <w:bookmarkEnd w:id="6"/>
    <w:p>
      <w:pPr>
        <w:spacing w:after="0"/>
        <w:rPr>
          <w:sz w:val="20"/>
          <w:szCs w:val="20"/>
          <w:color w:val="auto"/>
        </w:rPr>
      </w:pPr>
      <w:r>
        <w:rPr>
          <w:rFonts w:ascii="Calibri" w:cs="Calibri" w:eastAsia="Calibri" w:hAnsi="Calibri"/>
          <w:sz w:val="20"/>
          <w:szCs w:val="20"/>
          <w:b w:val="1"/>
          <w:bCs w:val="1"/>
          <w:color w:val="auto"/>
        </w:rPr>
        <w:t>Investor Contacts</w:t>
      </w:r>
    </w:p>
    <w:p>
      <w:pPr>
        <w:spacing w:after="0" w:line="238" w:lineRule="auto"/>
        <w:rPr>
          <w:sz w:val="20"/>
          <w:szCs w:val="20"/>
          <w:color w:val="auto"/>
        </w:rPr>
      </w:pPr>
      <w:r>
        <w:rPr>
          <w:rFonts w:ascii="Calibri" w:cs="Calibri" w:eastAsia="Calibri" w:hAnsi="Calibri"/>
          <w:sz w:val="20"/>
          <w:szCs w:val="20"/>
          <w:color w:val="auto"/>
        </w:rPr>
        <w:t>Brian Johnston</w:t>
      </w:r>
    </w:p>
    <w:p>
      <w:pPr>
        <w:spacing w:after="0"/>
        <w:rPr>
          <w:sz w:val="20"/>
          <w:szCs w:val="20"/>
          <w:color w:val="auto"/>
        </w:rPr>
      </w:pPr>
      <w:r>
        <w:rPr>
          <w:rFonts w:ascii="Calibri" w:cs="Calibri" w:eastAsia="Calibri" w:hAnsi="Calibri"/>
          <w:sz w:val="20"/>
          <w:szCs w:val="20"/>
          <w:color w:val="auto"/>
        </w:rPr>
        <w:t>Laine Morgan</w:t>
      </w:r>
    </w:p>
    <w:p>
      <w:pPr>
        <w:spacing w:after="0" w:line="238" w:lineRule="auto"/>
        <w:rPr>
          <w:sz w:val="20"/>
          <w:szCs w:val="20"/>
          <w:color w:val="auto"/>
        </w:rPr>
      </w:pPr>
      <w:r>
        <w:rPr>
          <w:rFonts w:ascii="Calibri" w:cs="Calibri" w:eastAsia="Calibri" w:hAnsi="Calibri"/>
          <w:sz w:val="20"/>
          <w:szCs w:val="20"/>
          <w:color w:val="auto"/>
        </w:rPr>
        <w:t>Gilmartn Group</w:t>
      </w:r>
    </w:p>
    <w:p>
      <w:pPr>
        <w:spacing w:after="0"/>
        <w:rPr>
          <w:sz w:val="20"/>
          <w:szCs w:val="20"/>
          <w:color w:val="auto"/>
        </w:rPr>
      </w:pPr>
      <w:r>
        <w:rPr>
          <w:rFonts w:ascii="Calibri" w:cs="Calibri" w:eastAsia="Calibri" w:hAnsi="Calibri"/>
          <w:sz w:val="20"/>
          <w:szCs w:val="20"/>
          <w:color w:val="0563C1"/>
        </w:rPr>
        <w:t>Investors@ceribell.com</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Media Contact</w:t>
      </w:r>
    </w:p>
    <w:p>
      <w:pPr>
        <w:spacing w:after="0" w:line="238" w:lineRule="auto"/>
        <w:rPr>
          <w:sz w:val="20"/>
          <w:szCs w:val="20"/>
          <w:color w:val="auto"/>
        </w:rPr>
      </w:pPr>
      <w:r>
        <w:rPr>
          <w:rFonts w:ascii="Calibri" w:cs="Calibri" w:eastAsia="Calibri" w:hAnsi="Calibri"/>
          <w:sz w:val="20"/>
          <w:szCs w:val="20"/>
          <w:color w:val="auto"/>
        </w:rPr>
        <w:t>Corrie Rose</w:t>
      </w:r>
    </w:p>
    <w:p>
      <w:pPr>
        <w:spacing w:after="0"/>
        <w:rPr>
          <w:sz w:val="20"/>
          <w:szCs w:val="20"/>
          <w:color w:val="auto"/>
        </w:rPr>
      </w:pPr>
      <w:r>
        <w:rPr>
          <w:rFonts w:ascii="Calibri" w:cs="Calibri" w:eastAsia="Calibri" w:hAnsi="Calibri"/>
          <w:sz w:val="20"/>
          <w:szCs w:val="20"/>
          <w:color w:val="0563C1"/>
        </w:rPr>
        <w:t>Press@ceribell.com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996" w:right="1440" w:bottom="1440" w:gutter="0" w:footer="0" w:header="0"/>
        </w:sectPr>
      </w:pPr>
    </w:p>
    <w:bookmarkStart w:id="7" w:name="page8"/>
    <w:bookmarkEnd w:id="7"/>
    <w:p>
      <w:pPr>
        <w:jc w:val="center"/>
        <w:ind w:right="40"/>
        <w:spacing w:after="0"/>
        <w:rPr>
          <w:sz w:val="20"/>
          <w:szCs w:val="20"/>
          <w:color w:val="auto"/>
        </w:rPr>
      </w:pPr>
      <w:r>
        <w:rPr>
          <w:rFonts w:ascii="Calibri" w:cs="Calibri" w:eastAsia="Calibri" w:hAnsi="Calibri"/>
          <w:sz w:val="20"/>
          <w:szCs w:val="20"/>
          <w:b w:val="1"/>
          <w:bCs w:val="1"/>
          <w:color w:val="auto"/>
        </w:rPr>
        <w:t>Ceribell, Inc.</w:t>
      </w:r>
    </w:p>
    <w:p>
      <w:pPr>
        <w:jc w:val="center"/>
        <w:spacing w:after="0" w:line="238" w:lineRule="auto"/>
        <w:rPr>
          <w:sz w:val="20"/>
          <w:szCs w:val="20"/>
          <w:color w:val="auto"/>
        </w:rPr>
      </w:pPr>
      <w:r>
        <w:rPr>
          <w:rFonts w:ascii="Calibri" w:cs="Calibri" w:eastAsia="Calibri" w:hAnsi="Calibri"/>
          <w:sz w:val="20"/>
          <w:szCs w:val="20"/>
          <w:b w:val="1"/>
          <w:bCs w:val="1"/>
          <w:color w:val="auto"/>
        </w:rPr>
        <w:t>Condensed Statements of Operatons and Comprehensive Loss</w:t>
      </w:r>
    </w:p>
    <w:p>
      <w:pPr>
        <w:jc w:val="center"/>
        <w:spacing w:after="0"/>
        <w:rPr>
          <w:sz w:val="20"/>
          <w:szCs w:val="20"/>
          <w:color w:val="auto"/>
        </w:rPr>
      </w:pPr>
      <w:r>
        <w:rPr>
          <w:rFonts w:ascii="Calibri" w:cs="Calibri" w:eastAsia="Calibri" w:hAnsi="Calibri"/>
          <w:sz w:val="20"/>
          <w:szCs w:val="20"/>
          <w:b w:val="1"/>
          <w:bCs w:val="1"/>
          <w:color w:val="auto"/>
        </w:rPr>
        <w:t>(in thousands, except share and per share data)</w:t>
      </w:r>
    </w:p>
    <w:p>
      <w:pPr>
        <w:jc w:val="center"/>
        <w:spacing w:after="0" w:line="238" w:lineRule="auto"/>
        <w:rPr>
          <w:sz w:val="20"/>
          <w:szCs w:val="20"/>
          <w:color w:val="auto"/>
        </w:rPr>
      </w:pPr>
      <w:r>
        <w:rPr>
          <w:rFonts w:ascii="Calibri" w:cs="Calibri" w:eastAsia="Calibri" w:hAnsi="Calibri"/>
          <w:sz w:val="20"/>
          <w:szCs w:val="20"/>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6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69"/>
        </w:trPr>
        <w:tc>
          <w:tcPr>
            <w:tcW w:w="58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13,321</w:t>
            </w:r>
          </w:p>
        </w:tc>
        <w:tc>
          <w:tcPr>
            <w:tcW w:w="26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24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35,932</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24,561</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 revenue</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10,978</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17,195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11,611</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46,910</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32,094</w:t>
            </w:r>
          </w:p>
        </w:tc>
        <w:tc>
          <w:tcPr>
            <w:tcW w:w="10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of revenue</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cost of goods sold</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4,762</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Subscription cost of revenue</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2,184</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6,398</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5,047</w:t>
            </w:r>
          </w:p>
        </w:tc>
        <w:tc>
          <w:tcPr>
            <w:tcW w:w="100" w:type="dxa"/>
            <w:vAlign w:val="bottom"/>
          </w:tcPr>
          <w:p>
            <w:pPr>
              <w:spacing w:after="0"/>
              <w:rPr>
                <w:sz w:val="20"/>
                <w:szCs w:val="20"/>
                <w:color w:val="auto"/>
              </w:rPr>
            </w:pPr>
          </w:p>
        </w:tc>
      </w:tr>
      <w:tr>
        <w:trPr>
          <w:trHeight w:val="236"/>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15,011</w:t>
            </w:r>
          </w:p>
        </w:tc>
        <w:tc>
          <w:tcPr>
            <w:tcW w:w="26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9,726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40,512</w:t>
            </w: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27,047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2,308</w:t>
            </w: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9,649</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00" w:type="dxa"/>
            <w:vAlign w:val="bottom"/>
            <w:shd w:val="clear" w:color="auto" w:fill="CFF0FC"/>
          </w:tcPr>
          <w:p>
            <w:pPr>
              <w:spacing w:after="0"/>
              <w:rPr>
                <w:sz w:val="21"/>
                <w:szCs w:val="21"/>
                <w:color w:val="auto"/>
              </w:rPr>
            </w:pPr>
          </w:p>
        </w:tc>
      </w:tr>
      <w:tr>
        <w:trPr>
          <w:trHeight w:val="239"/>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12,524</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9,592</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33,812</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28,107</w:t>
            </w: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4,990</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23,876</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14,293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24,948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16,890</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67,337</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48,707</w:t>
            </w:r>
          </w:p>
        </w:tc>
        <w:tc>
          <w:tcPr>
            <w:tcW w:w="100" w:type="dxa"/>
            <w:vAlign w:val="bottom"/>
          </w:tcPr>
          <w:p>
            <w:pPr>
              <w:spacing w:after="0"/>
              <w:rPr>
                <w:sz w:val="20"/>
                <w:szCs w:val="20"/>
                <w:color w:val="auto"/>
              </w:rPr>
            </w:pPr>
          </w:p>
        </w:tc>
      </w:tr>
      <w:tr>
        <w:trPr>
          <w:trHeight w:val="23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(9,937 )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(7,164 )</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(26,825 )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(21,660 )</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(530 )</w:t>
            </w:r>
          </w:p>
        </w:tc>
        <w:tc>
          <w:tcPr>
            <w:tcW w:w="26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(532 )</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(1,493 )</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(1,585 )</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14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(173 )</w:t>
            </w:r>
          </w:p>
        </w:tc>
        <w:tc>
          <w:tcPr>
            <w:tcW w:w="2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(3 )</w:t>
            </w:r>
          </w:p>
        </w:tc>
        <w:tc>
          <w:tcPr>
            <w:tcW w:w="16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(417 )</w:t>
            </w:r>
          </w:p>
        </w:tc>
        <w:tc>
          <w:tcPr>
            <w:tcW w:w="26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provision for income taxes</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(10,417 )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(7,054 )</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(27,879 )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(21,179 )</w:t>
            </w:r>
          </w:p>
        </w:tc>
      </w:tr>
      <w:tr>
        <w:trPr>
          <w:trHeight w:val="23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 expense</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0"/>
        </w:trPr>
        <w:tc>
          <w:tcPr>
            <w:tcW w:w="58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and comprehensive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(10,417 )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(7,054 )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(27,879 )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(21,190 )</w:t>
            </w:r>
          </w:p>
        </w:tc>
      </w:tr>
      <w:tr>
        <w:trPr>
          <w:trHeight w:val="237"/>
        </w:trPr>
        <w:tc>
          <w:tcPr>
            <w:tcW w:w="58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attributable to common stockholders: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26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(1.85 )</w:t>
            </w:r>
          </w:p>
        </w:tc>
        <w:tc>
          <w:tcPr>
            <w:tcW w:w="26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(1.32 )</w:t>
            </w:r>
          </w:p>
        </w:tc>
        <w:tc>
          <w:tcPr>
            <w:tcW w:w="1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(5.02 )</w:t>
            </w:r>
          </w:p>
        </w:tc>
        <w:tc>
          <w:tcPr>
            <w:tcW w:w="2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(4.02 )</w:t>
            </w:r>
          </w:p>
        </w:tc>
      </w:tr>
      <w:tr>
        <w:trPr>
          <w:trHeight w:val="205"/>
        </w:trPr>
        <w:tc>
          <w:tcPr>
            <w:tcW w:w="5820" w:type="dxa"/>
            <w:vAlign w:val="bottom"/>
            <w:tcBorders>
              <w:top w:val="single" w:sz="8" w:color="CFF0FC"/>
            </w:tcBorders>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Weighted-average shares used in computing net loss per share</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45"/>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attributable to common stockholders: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5"/>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5,634,583</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5,343,337</w:t>
            </w:r>
          </w:p>
        </w:tc>
        <w:tc>
          <w:tcPr>
            <w:tcW w:w="2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5,549,570</w:t>
            </w:r>
          </w:p>
        </w:tc>
        <w:tc>
          <w:tcPr>
            <w:tcW w:w="2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5,274,151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179"/>
        </w:trPr>
        <w:tc>
          <w:tcPr>
            <w:tcW w:w="58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-4396740</wp:posOffset>
            </wp:positionV>
            <wp:extent cx="77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-4396740</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-4396740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-4396740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-3762375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-3762375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-3762375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-3436620</wp:posOffset>
            </wp:positionV>
            <wp:extent cx="77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-3436620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-3436620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-2811145</wp:posOffset>
            </wp:positionV>
            <wp:extent cx="774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-2811145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-2811145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-2811145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-1542415</wp:posOffset>
            </wp:positionV>
            <wp:extent cx="7747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-1542415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-1542415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-1224915</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-1224915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-1224915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-770890</wp:posOffset>
            </wp:positionV>
            <wp:extent cx="7747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-770890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-770890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9" w:right="339" w:bottom="1440" w:gutter="0" w:footer="0" w:header="0"/>
        </w:sectPr>
      </w:pPr>
    </w:p>
    <w:bookmarkStart w:id="8" w:name="page9"/>
    <w:bookmarkEnd w:id="8"/>
    <w:p>
      <w:pPr>
        <w:jc w:val="center"/>
        <w:spacing w:after="0"/>
        <w:rPr>
          <w:sz w:val="20"/>
          <w:szCs w:val="20"/>
          <w:color w:val="auto"/>
        </w:rPr>
      </w:pPr>
      <w:r>
        <w:rPr>
          <w:rFonts w:ascii="Calibri" w:cs="Calibri" w:eastAsia="Calibri" w:hAnsi="Calibri"/>
          <w:sz w:val="20"/>
          <w:szCs w:val="20"/>
          <w:b w:val="1"/>
          <w:bCs w:val="1"/>
          <w:color w:val="auto"/>
        </w:rPr>
        <w:t>Ceribell, Inc.</w:t>
      </w:r>
    </w:p>
    <w:p>
      <w:pPr>
        <w:jc w:val="center"/>
        <w:spacing w:after="0" w:line="238" w:lineRule="auto"/>
        <w:rPr>
          <w:sz w:val="20"/>
          <w:szCs w:val="20"/>
          <w:color w:val="auto"/>
        </w:rPr>
      </w:pPr>
      <w:r>
        <w:rPr>
          <w:rFonts w:ascii="Calibri" w:cs="Calibri" w:eastAsia="Calibri" w:hAnsi="Calibri"/>
          <w:sz w:val="20"/>
          <w:szCs w:val="20"/>
          <w:b w:val="1"/>
          <w:bCs w:val="1"/>
          <w:color w:val="auto"/>
        </w:rPr>
        <w:t>Condensed Balance Sheets</w:t>
      </w:r>
    </w:p>
    <w:p>
      <w:pPr>
        <w:jc w:val="center"/>
        <w:spacing w:after="0"/>
        <w:rPr>
          <w:sz w:val="20"/>
          <w:szCs w:val="20"/>
          <w:color w:val="auto"/>
        </w:rPr>
      </w:pPr>
      <w:r>
        <w:rPr>
          <w:rFonts w:ascii="Calibri" w:cs="Calibri" w:eastAsia="Calibri" w:hAnsi="Calibri"/>
          <w:sz w:val="20"/>
          <w:szCs w:val="20"/>
          <w:b w:val="1"/>
          <w:bCs w:val="1"/>
          <w:color w:val="auto"/>
        </w:rPr>
        <w:t>(in thousands, except share and per share data)</w:t>
      </w:r>
    </w:p>
    <w:p>
      <w:pPr>
        <w:jc w:val="center"/>
        <w:spacing w:after="0" w:line="238" w:lineRule="auto"/>
        <w:rPr>
          <w:sz w:val="20"/>
          <w:szCs w:val="20"/>
          <w:color w:val="auto"/>
        </w:rPr>
      </w:pPr>
      <w:r>
        <w:rPr>
          <w:rFonts w:ascii="Calibri" w:cs="Calibri" w:eastAsia="Calibri" w:hAnsi="Calibri"/>
          <w:sz w:val="20"/>
          <w:szCs w:val="20"/>
          <w:b w:val="1"/>
          <w:bCs w:val="1"/>
          <w:color w:val="auto"/>
        </w:rPr>
        <w:t>(unaudited)</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14,110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34,495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7,955</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5,868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costs, current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34,960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51,963</w:t>
            </w: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costs, long-term</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20"/>
                <w:szCs w:val="20"/>
                <w:color w:val="auto"/>
              </w:rPr>
            </w:pPr>
          </w:p>
        </w:tc>
      </w:tr>
      <w:tr>
        <w:trPr>
          <w:trHeight w:val="23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47,059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58,922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redeemable convertible preferred stock and stockholders’ deficit</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7,540</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liabilities, current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Notes payable, current</w:t>
            </w:r>
          </w:p>
        </w:tc>
        <w:tc>
          <w:tcPr>
            <w:tcW w:w="22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11,833</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 current</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13,089</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21,600</w:t>
            </w:r>
          </w:p>
        </w:tc>
        <w:tc>
          <w:tcPr>
            <w:tcW w:w="100" w:type="dxa"/>
            <w:vAlign w:val="bottom"/>
          </w:tcPr>
          <w:p>
            <w:pPr>
              <w:spacing w:after="0"/>
              <w:rPr>
                <w:sz w:val="20"/>
                <w:szCs w:val="20"/>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Notes payable, long-term</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Contract liabilities, long-term</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liabilities, long-term</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20"/>
                <w:szCs w:val="20"/>
                <w:color w:val="auto"/>
              </w:rPr>
            </w:pPr>
          </w:p>
        </w:tc>
      </w:tr>
      <w:tr>
        <w:trPr>
          <w:trHeight w:val="243"/>
        </w:trPr>
        <w:tc>
          <w:tcPr>
            <w:tcW w:w="77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Operating lease liability, long-term</w:t>
            </w:r>
          </w:p>
        </w:tc>
        <w:tc>
          <w:tcPr>
            <w:tcW w:w="220" w:type="dxa"/>
            <w:vAlign w:val="bottom"/>
            <w:tcBorders>
              <w:bottom w:val="single" w:sz="8" w:color="auto"/>
            </w:tcBorders>
            <w:shd w:val="clear" w:color="auto" w:fill="CFF0FC"/>
          </w:tcPr>
          <w:p>
            <w:pPr>
              <w:spacing w:after="0"/>
              <w:rPr>
                <w:sz w:val="21"/>
                <w:szCs w:val="21"/>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liabilities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22,540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2,162</w:t>
            </w:r>
          </w:p>
        </w:tc>
        <w:tc>
          <w:tcPr>
            <w:tcW w:w="100" w:type="dxa"/>
            <w:vAlign w:val="bottom"/>
          </w:tcPr>
          <w:p>
            <w:pPr>
              <w:spacing w:after="0"/>
              <w:rPr>
                <w:sz w:val="20"/>
                <w:szCs w:val="20"/>
                <w:color w:val="auto"/>
              </w:rPr>
            </w:pPr>
          </w:p>
        </w:tc>
      </w:tr>
      <w:tr>
        <w:trPr>
          <w:trHeight w:val="23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35,629</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23,762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 $0.001 par value;</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Authorized shares: 46,831,773 and 46,624,838 shares as of September 30, 2024 and December 31,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2023, respectively</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and outstanding shares: 17,817,643 shares as of September 30, 2024 and December 31, 2023</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Aggregate liquidation preference of $152,590 as of September 30, 2024 and December 31, 2023</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147,412</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147,412</w:t>
            </w:r>
          </w:p>
        </w:tc>
        <w:tc>
          <w:tcPr>
            <w:tcW w:w="100" w:type="dxa"/>
            <w:vAlign w:val="bottom"/>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 stock, $0.001 par value;</w:t>
            </w: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Authorized shares: 76,879,683 and 76,672,748 as of September 30, 2024 and December 31, 2023,</w:t>
            </w: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shares: 5,779,191 and 5,430,298 as of September 30, 2024 and December 31,</w:t>
            </w: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2023, respectively.</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r>
      <w:tr>
        <w:trPr>
          <w:trHeight w:val="25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14,232</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(154,368 )</w:t>
            </w:r>
          </w:p>
        </w:tc>
        <w:tc>
          <w:tcPr>
            <w:tcW w:w="220" w:type="dxa"/>
            <w:vAlign w:val="bottom"/>
          </w:tcPr>
          <w:p>
            <w:pPr>
              <w:spacing w:after="0"/>
              <w:rPr>
                <w:sz w:val="20"/>
                <w:szCs w:val="20"/>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(126,489 )</w:t>
            </w:r>
          </w:p>
        </w:tc>
      </w:tr>
      <w:tr>
        <w:trPr>
          <w:trHeight w:val="20"/>
        </w:trPr>
        <w:tc>
          <w:tcPr>
            <w:tcW w:w="77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(135,982 )</w:t>
            </w:r>
          </w:p>
        </w:tc>
        <w:tc>
          <w:tcPr>
            <w:tcW w:w="22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(112,252 )</w:t>
            </w:r>
          </w:p>
        </w:tc>
      </w:tr>
      <w:tr>
        <w:trPr>
          <w:trHeight w:val="236"/>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redeemable convertible preferred stock and stockholders’ deficit</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47,059</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58,922</w:t>
            </w:r>
          </w:p>
        </w:tc>
        <w:tc>
          <w:tcPr>
            <w:tcW w:w="100" w:type="dxa"/>
            <w:vAlign w:val="bottom"/>
            <w:tcBorders>
              <w:top w:val="single" w:sz="8" w:color="CFF0FC"/>
            </w:tcBorders>
          </w:tcPr>
          <w:p>
            <w:pPr>
              <w:spacing w:after="0"/>
              <w:rPr>
                <w:sz w:val="20"/>
                <w:szCs w:val="20"/>
                <w:color w:val="auto"/>
              </w:rPr>
            </w:pPr>
          </w:p>
        </w:tc>
      </w:tr>
      <w:tr>
        <w:trPr>
          <w:trHeight w:val="1177"/>
        </w:trPr>
        <w:tc>
          <w:tcPr>
            <w:tcW w:w="77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-6677025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-6677025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-5734050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-4491355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-4491355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-3548380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-3222625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-933450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2024-11-12T15:37:11Z</dcterms:created>
  <dcterms:modified xsi:type="dcterms:W3CDTF">2024-11-12T15:37:11Z</dcterms:modified>
</cp:coreProperties>
</file>