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bll-20260728.htm"/>
      <w:bookmarkStart w:id="1" w:name="kscbll20260728"/>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28,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CeriBell,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001-42364</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47-1785452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360 N. Pastoria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Sunnyvale,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800</w:t>
            </w:r>
            <w:r>
              <w:rPr>
                <w:rFonts w:ascii="Times New Roman" w:hAnsi="Times New Roman"/>
                <w:color w:val="000000"/>
                <w:sz w:val="20"/>
              </w:rPr>
              <w:t xml:space="preserve"> </w:t>
            </w:r>
            <w:r>
              <w:rPr>
                <w:rFonts w:ascii="Times New Roman" w:hAnsi="Times New Roman"/>
                <w:b/>
                <w:color w:val="000000"/>
                <w:sz w:val="20"/>
              </w:rPr>
              <w:t>436-0826</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35" w:type="dxa"/>
        <w:jc w:val="left"/>
        <w:tblInd w:w="0" w:type="dxa"/>
        <w:tblLayout w:type="fixed"/>
        <w:tblCellMar>
          <w:top w:w="28" w:type="dxa"/>
          <w:left w:w="28" w:type="dxa"/>
          <w:bottom w:w="28" w:type="dxa"/>
          <w:right w:w="28" w:type="dxa"/>
        </w:tblCellMar>
      </w:tblPr>
      <w:tblGrid>
        <w:gridCol w:w="3571"/>
        <w:gridCol w:w="146"/>
        <w:gridCol w:w="946"/>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CBLL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798"/>
        <w:gridCol w:w="9407"/>
      </w:tblGrid>
      <w:tr>
        <w:trPr/>
        <w:tc>
          <w:tcPr>
            <w:tcW w:w="798" w:type="dxa"/>
            <w:tcBorders/>
            <w:vAlign w:val="center"/>
          </w:tcPr>
          <w:p>
            <w:pPr>
              <w:pStyle w:val="TableContents"/>
              <w:bidi w:val="0"/>
              <w:spacing w:before="0" w:after="283"/>
              <w:jc w:val="left"/>
              <w:rPr>
                <w:sz w:val="4"/>
                <w:szCs w:val="4"/>
              </w:rPr>
            </w:pPr>
            <w:r>
              <w:rPr>
                <w:sz w:val="4"/>
                <w:szCs w:val="4"/>
              </w:rPr>
            </w:r>
          </w:p>
        </w:tc>
        <w:tc>
          <w:tcPr>
            <w:tcW w:w="9407" w:type="dxa"/>
            <w:tcBorders/>
            <w:vAlign w:val="center"/>
          </w:tcPr>
          <w:p>
            <w:pPr>
              <w:pStyle w:val="TableContents"/>
              <w:bidi w:val="0"/>
              <w:spacing w:before="0" w:after="283"/>
              <w:jc w:val="left"/>
              <w:rPr>
                <w:sz w:val="4"/>
                <w:szCs w:val="4"/>
              </w:rPr>
            </w:pPr>
            <w:r>
              <w:rPr>
                <w:sz w:val="4"/>
                <w:szCs w:val="4"/>
              </w:rPr>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5.02</w:t>
            </w:r>
          </w:p>
        </w:tc>
        <w:tc>
          <w:tcPr>
            <w:tcW w:w="94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Departure of Directors or Certain Officers; Election of Directors; Appointment of Certain Officers; Compensatory Arrangements of Certain Officers.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Effective July 28, 2026, the Board of Directors (the “Board”) of CeriBell, Inc. (the “Company”), in order to achieve a more balanced membership among the classes of directors, accepted the resignation of William W. Burke as a Class I director and immediately elected him as a Class II director, and accepted the resignation of Joseph M. Taylor as a Class I director and immediately elected him as a Class III director. The resignations and re-elections of Mr. Burke and Mr. Taylor were effected solely to rebalance the Board’s classes, and, for all other purposes, including committee service and compensation, the services of Mr. Burke and Mr. Taylor on the Board are deemed to have continued uninterrupted.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Immediately following the foregoing rebalancing, and effective July 28, 2026, the Board increased the authorized size of the Board from seven to nine directors and elected Sharon L. O’Keefe and Thomas A. West to fill the newly created directorships, each to serve as a Class I director until his or her successor is duly elected and qualified, or until his or her earlier resignation or removal. Ms. O’Keefe has also been appointed to the Compensation Committee of the Board, and Mr. West has also been appointed to the Audit Committee of the Board. Following these actions, the Board consists of three Class I directors, three Class II directors, and three Class III directors.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their service as non-employee directors, each of Ms. O’Keefe and Mr. West will receive annual cash compensation and restricted stock units in accordance with the Company’s Non-Employee Director Compensation Program. The description of the Company’s Non-Employee Director Compensation Program under “Director Compensation—Non-Employee Director Compensation Program” in the Company’s definitive proxy statement filed with the Securities and Exchange Commission on April 20, 2026 is incorporated herein by reference. In connection with their appointments, each of Ms. O’Keefe and Mr. West will receive an initial award of restricted stock units covering a number of shares of the Company’s common stock determined by dividing $300,000 by the average per-share closing trading price of the Company’s common stock over the most recent 30 trading days as of the grant date. Each award will vest as to one-third of the underlying shares on each of the first three anniversaries of the grant date, subject to the applicable director’s continued service on the Board through each vesting date. The Company will enter into an indemnification agreement with each of Ms. O’Keefe and Mr. West substantially in the form of the Company’s standard indemnification agreement, providing customary rights to indemnification and advancement of expenses, subject to its terms.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are no arrangements or understandings between Ms. O’Keefe and any other person, or between Mr. West and any other person, pursuant to which either was elected as a director. In addition, neither Ms. O’Keefe nor Mr. West has any direct or indirect material interest in any transaction or proposed transaction required to be disclosed pursuant to Item 404(a) of Regulation S-K.</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234" w:type="dxa"/>
        <w:jc w:val="left"/>
        <w:tblInd w:w="0" w:type="dxa"/>
        <w:tblLayout w:type="fixed"/>
        <w:tblCellMar>
          <w:top w:w="28" w:type="dxa"/>
          <w:left w:w="28" w:type="dxa"/>
          <w:bottom w:w="28" w:type="dxa"/>
          <w:right w:w="28" w:type="dxa"/>
        </w:tblCellMar>
      </w:tblPr>
      <w:tblGrid>
        <w:gridCol w:w="556"/>
        <w:gridCol w:w="1216"/>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CERIBELL,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29,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Scott Blumberg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Scott Blumberg</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859</Words>
  <Characters>4692</Characters>
  <CharactersWithSpaces>5548</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