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723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723380"/>
                    </a:xfrm>
                    <a:prstGeom prst="rect">
                      <a:avLst/>
                    </a:prstGeom>
                    <a:noFill/>
                  </pic:spPr>
                </pic:pic>
              </a:graphicData>
            </a:graphic>
          </wp:anchor>
        </w:drawing>
      </w:r>
    </w:p>
    <w:p>
      <w:pPr>
        <w:spacing w:after="0" w:line="1243" w:lineRule="exact"/>
        <w:rPr>
          <w:sz w:val="24"/>
          <w:szCs w:val="24"/>
          <w:color w:val="auto"/>
        </w:rPr>
      </w:pPr>
    </w:p>
    <w:p>
      <w:pPr>
        <w:sectPr>
          <w:pgSz w:w="11900" w:h="16841"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Chao Xingjuan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CERIBELL,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360 N. PASTORIA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Ceribell,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CBLL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0" w:lineRule="exact"/>
        <w:rPr>
          <w:sz w:val="24"/>
          <w:szCs w:val="24"/>
          <w:color w:val="auto"/>
        </w:rPr>
      </w:pPr>
    </w:p>
    <w:p>
      <w:pPr>
        <w:sectPr>
          <w:pgSz w:w="11900" w:h="16841" w:orient="portrait"/>
          <w:cols w:equalWidth="0" w:num="3">
            <w:col w:w="3200" w:space="720"/>
            <w:col w:w="3100" w:space="720"/>
            <w:col w:w="3340"/>
          </w:cols>
          <w:pgMar w:left="460" w:top="217" w:right="359" w:bottom="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SUNNYVALE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94085</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41" w:orient="portrait"/>
          <w:cols w:equalWidth="0" w:num="2">
            <w:col w:w="3760" w:space="160"/>
            <w:col w:w="716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06/08/2026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8"/>
              </w:rPr>
              <w:t>14,000</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18.33</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816,317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06/08/2026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9"/>
              </w:rPr>
              <w:t>1,446</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4.7</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817,763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06/08/2026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9"/>
              </w:rPr>
              <w:t>1,446</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18.33</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816,317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06/08/2026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8"/>
              </w:rPr>
              <w:t>23,554</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4.7</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839,871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06/08/2026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8"/>
              </w:rPr>
              <w:t>23,554</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18.33</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816,317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ACP</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369,088</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71" w:lineRule="exact"/>
              <w:rPr>
                <w:sz w:val="20"/>
                <w:szCs w:val="20"/>
                <w:color w:val="auto"/>
              </w:rPr>
            </w:pPr>
            <w:r>
              <w:rPr>
                <w:rFonts w:ascii="Times New Roman" w:cs="Times New Roman" w:eastAsia="Times New Roman" w:hAnsi="Times New Roman"/>
                <w:sz w:val="31"/>
                <w:szCs w:val="31"/>
                <w:color w:val="0000FF"/>
                <w:vertAlign w:val="subscript"/>
              </w:rPr>
              <w:t>Trust</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jc w:val="center"/>
              <w:ind w:right="9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8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06/08/2026</w:t>
            </w:r>
          </w:p>
        </w:tc>
        <w:tc>
          <w:tcPr>
            <w:tcW w:w="1140" w:type="dxa"/>
            <w:vAlign w:val="bottom"/>
          </w:tcPr>
          <w:p>
            <w:pPr>
              <w:spacing w:after="0"/>
              <w:rPr>
                <w:sz w:val="12"/>
                <w:szCs w:val="12"/>
                <w:color w:val="auto"/>
              </w:rPr>
            </w:pPr>
          </w:p>
        </w:tc>
        <w:tc>
          <w:tcPr>
            <w:tcW w:w="62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86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color w:val="0000FF"/>
              </w:rPr>
              <w:t>1,446</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02/16/2033</w:t>
            </w: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48"/>
              <w:spacing w:after="0"/>
              <w:rPr>
                <w:sz w:val="20"/>
                <w:szCs w:val="20"/>
                <w:color w:val="auto"/>
              </w:rPr>
            </w:pPr>
            <w:r>
              <w:rPr>
                <w:rFonts w:ascii="Times New Roman" w:cs="Times New Roman" w:eastAsia="Times New Roman" w:hAnsi="Times New Roman"/>
                <w:sz w:val="17"/>
                <w:szCs w:val="17"/>
                <w:color w:val="0000FF"/>
              </w:rPr>
              <w:t>1,446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290,156</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06/08/2026</w:t>
            </w:r>
          </w:p>
        </w:tc>
        <w:tc>
          <w:tcPr>
            <w:tcW w:w="1140" w:type="dxa"/>
            <w:vAlign w:val="bottom"/>
          </w:tcPr>
          <w:p>
            <w:pPr>
              <w:spacing w:after="0"/>
              <w:rPr>
                <w:sz w:val="16"/>
                <w:szCs w:val="16"/>
                <w:color w:val="auto"/>
              </w:rPr>
            </w:pPr>
          </w:p>
        </w:tc>
        <w:tc>
          <w:tcPr>
            <w:tcW w:w="62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23,554</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02/16/2033</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8"/>
              <w:spacing w:after="0" w:line="194" w:lineRule="exact"/>
              <w:rPr>
                <w:sz w:val="20"/>
                <w:szCs w:val="20"/>
                <w:color w:val="auto"/>
              </w:rPr>
            </w:pPr>
            <w:r>
              <w:rPr>
                <w:rFonts w:ascii="Times New Roman" w:cs="Times New Roman" w:eastAsia="Times New Roman" w:hAnsi="Times New Roman"/>
                <w:sz w:val="17"/>
                <w:szCs w:val="17"/>
                <w:color w:val="0000FF"/>
                <w:w w:val="94"/>
              </w:rPr>
              <w:t>23,554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101,477</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3"/>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were effected pursuant to a Rule 10b5-1 trading plan adopted by the Reporting Person.</w:t>
      </w:r>
    </w:p>
    <w:p>
      <w:pPr>
        <w:spacing w:after="0" w:line="43"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$18.15 to $18.75, inclusive. The Reporting Person undertakes to provide to the Issuer, any security holder of the Issuer, or the staff of the Securities and Exchange Commission, upon request, full information regarding the number of shares purchased or sold, as applicable,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co-trustee of the ACP 2021 Trust, and therefore may be deemed to share beneficial ownership of these securities.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her pecuniary interest therein.</w:t>
      </w:r>
    </w:p>
    <w:p>
      <w:pPr>
        <w:spacing w:after="0" w:line="43"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1/48 of the shares subject thereto on each monthly anniversary of April 1, 2023, subject to the Reporting Person's continued employment or service relationship with the Issuer on each such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currently exercisable.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Louisa Daniels, Attorney-in- </w:t>
      </w:r>
      <w:r>
        <w:rPr>
          <w:rFonts w:ascii="Times New Roman" w:cs="Times New Roman" w:eastAsia="Times New Roman" w:hAnsi="Times New Roman"/>
          <w:sz w:val="33"/>
          <w:szCs w:val="33"/>
          <w:color w:val="0000FF"/>
          <w:vertAlign w:val="subscript"/>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38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Xingjuan (Jane) Chao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94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476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41"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35784" TargetMode="External"/><Relationship Id="rId14" Type="http://schemas.openxmlformats.org/officeDocument/2006/relationships/hyperlink" Target="http://www.sec.gov/cgi-bin/browse-edgar?action=getcompany&amp;CIK=0001861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2026-06-10T11:54:17Z</dcterms:created>
  <dcterms:modified xsi:type="dcterms:W3CDTF">2026-06-10T11:54:17Z</dcterms:modified>
</cp:coreProperties>
</file>