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Chao Xingjuan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CERIBELL,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 N. PASTORIA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Ceribell, Inc.</w:t>
              </w:r>
            </w:hyperlink>
            <w:r>
              <w:rPr/>
              <w:t xml:space="preserve"> [ </w:t>
            </w:r>
            <w:r>
              <w:rPr>
                <w:rFonts w:ascii="Times;serif" w:hAnsi="Times;serif"/>
                <w:color w:val="0000FF"/>
                <w:sz w:val="24"/>
                <w:shd w:fill="FFFFFF" w:val="clear"/>
              </w:rPr>
              <w:t>CBLL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1,446</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803,763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23,554</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827,317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18.32</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788,317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369,088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ACP 2021 Trust</w:t>
            </w:r>
            <w:r>
              <w:rPr>
                <w:rFonts w:ascii="Times;serif" w:hAnsi="Times;serif"/>
                <w:color w:val="008000"/>
                <w:position w:val="7"/>
                <w:sz w:val="16"/>
                <w:sz w:val="20"/>
                <w:shd w:fill="FFFFFF" w:val="clear"/>
              </w:rPr>
              <w:t>(3)(4)</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1,446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02/16/2033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287,264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23,554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02/16/2033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23,554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54,369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in this Form 4 were effected pursuant to a Rule 10b5-1 trading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$17.88 to $18.72, inclusive. The Reporting Person undertakes to provide to the Issuer, any security holder of the Issuer, or the staff of the Securities and Exchange Commission, upon request, full information regarding the number of shares purchased or sold, as applicable,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a co-trustee of the ACP 2021 Trust, and therefore may be deemed to share beneficial ownership of these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disclaims beneficial ownership of these securities except to the extent of her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 vests with respect to 1/48 of the shares subject thereto on each monthly anniversary of April 1, 2023, subject to the Reporting Person's continued employment or service relationship with the Issuer on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stock option is fully vested and currently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Louisa Daniels, Attorney-in-Fact for Xingjuan (Jane) Chao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5784" TargetMode="External"/><Relationship Id="rId5" Type="http://schemas.openxmlformats.org/officeDocument/2006/relationships/hyperlink" Target="http://www.sec.gov/cgi-bin/browse-edgar?action=getcompany&amp;CIK=00018611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819</Words>
  <Characters>4393</Characters>
  <CharactersWithSpaces>5095</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